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DB2B" w14:textId="77777777" w:rsidR="00923CC4" w:rsidRDefault="00923CC4" w:rsidP="00923CC4">
      <w:pPr>
        <w:spacing w:after="0"/>
        <w:jc w:val="center"/>
        <w:rPr>
          <w:rFonts w:ascii="Calibri" w:hAnsi="Calibri" w:cs="Calibri"/>
          <w:b/>
          <w:sz w:val="36"/>
          <w:szCs w:val="36"/>
        </w:rPr>
      </w:pPr>
    </w:p>
    <w:p w14:paraId="48F0DDD5" w14:textId="7F2C9AB4" w:rsidR="00923CC4" w:rsidRDefault="00923CC4" w:rsidP="00923CC4">
      <w:pPr>
        <w:spacing w:after="0"/>
        <w:jc w:val="center"/>
        <w:rPr>
          <w:rFonts w:ascii="Calibri" w:hAnsi="Calibri" w:cs="Calibri"/>
          <w:b/>
          <w:sz w:val="36"/>
          <w:szCs w:val="36"/>
        </w:rPr>
      </w:pPr>
      <w:r>
        <w:rPr>
          <w:rFonts w:ascii="Calibri" w:hAnsi="Calibri" w:cs="Calibri"/>
          <w:b/>
          <w:noProof/>
          <w:sz w:val="36"/>
          <w:szCs w:val="36"/>
          <w:lang w:eastAsia="fr-FR"/>
        </w:rPr>
        <w:drawing>
          <wp:inline distT="0" distB="0" distL="0" distR="0" wp14:anchorId="0B65B928" wp14:editId="785F682E">
            <wp:extent cx="1344295" cy="1469390"/>
            <wp:effectExtent l="0" t="0" r="8255" b="0"/>
            <wp:docPr id="1" name="Image 1" descr="Blason EPPE SAU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EPPE SAUV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295" cy="1469390"/>
                    </a:xfrm>
                    <a:prstGeom prst="rect">
                      <a:avLst/>
                    </a:prstGeom>
                    <a:noFill/>
                    <a:ln>
                      <a:noFill/>
                    </a:ln>
                  </pic:spPr>
                </pic:pic>
              </a:graphicData>
            </a:graphic>
          </wp:inline>
        </w:drawing>
      </w:r>
    </w:p>
    <w:p w14:paraId="5B7B0CB8" w14:textId="77777777" w:rsidR="00923CC4" w:rsidRDefault="00923CC4" w:rsidP="00923CC4">
      <w:pPr>
        <w:spacing w:after="0"/>
        <w:jc w:val="center"/>
        <w:rPr>
          <w:rFonts w:ascii="Calibri" w:hAnsi="Calibri" w:cs="Calibri"/>
          <w:b/>
          <w:sz w:val="36"/>
          <w:szCs w:val="36"/>
        </w:rPr>
      </w:pPr>
    </w:p>
    <w:p w14:paraId="1AA3CE9B" w14:textId="77777777" w:rsidR="00923CC4" w:rsidRPr="00E22CAA" w:rsidRDefault="00923CC4" w:rsidP="00923CC4">
      <w:pPr>
        <w:spacing w:after="0"/>
        <w:jc w:val="center"/>
        <w:rPr>
          <w:rFonts w:ascii="Calibri" w:hAnsi="Calibri" w:cs="Calibri"/>
          <w:b/>
          <w:sz w:val="36"/>
          <w:szCs w:val="36"/>
        </w:rPr>
      </w:pPr>
    </w:p>
    <w:p w14:paraId="1939C908" w14:textId="77777777" w:rsidR="00923CC4" w:rsidRPr="003F5898" w:rsidRDefault="00923CC4" w:rsidP="00923CC4">
      <w:pPr>
        <w:spacing w:after="0"/>
        <w:jc w:val="center"/>
        <w:rPr>
          <w:rFonts w:ascii="Calibri" w:hAnsi="Calibri" w:cs="Calibri"/>
          <w:b/>
          <w:sz w:val="36"/>
          <w:szCs w:val="28"/>
        </w:rPr>
      </w:pPr>
      <w:r w:rsidRPr="003F5898">
        <w:rPr>
          <w:rFonts w:ascii="Calibri" w:hAnsi="Calibri" w:cs="Calibri"/>
          <w:b/>
          <w:sz w:val="36"/>
          <w:szCs w:val="28"/>
        </w:rPr>
        <w:t>Commune d’EPPE-SAUVAGE (Nord)</w:t>
      </w:r>
    </w:p>
    <w:p w14:paraId="58E1FEA3" w14:textId="77777777" w:rsidR="00923CC4" w:rsidRPr="003F5898" w:rsidRDefault="00923CC4" w:rsidP="00923CC4">
      <w:pPr>
        <w:spacing w:after="0"/>
        <w:jc w:val="center"/>
        <w:rPr>
          <w:rFonts w:ascii="Calibri" w:hAnsi="Calibri" w:cs="Calibri"/>
          <w:b/>
          <w:sz w:val="44"/>
          <w:szCs w:val="36"/>
        </w:rPr>
      </w:pPr>
    </w:p>
    <w:p w14:paraId="70F29F09" w14:textId="77777777" w:rsidR="00923CC4" w:rsidRPr="00B748C7" w:rsidRDefault="00923CC4" w:rsidP="00923CC4">
      <w:pPr>
        <w:spacing w:after="0"/>
        <w:jc w:val="center"/>
        <w:rPr>
          <w:rFonts w:ascii="Calibri" w:hAnsi="Calibri" w:cs="Calibri"/>
          <w:b/>
          <w:sz w:val="36"/>
          <w:szCs w:val="36"/>
        </w:rPr>
      </w:pPr>
    </w:p>
    <w:p w14:paraId="26CC04B9" w14:textId="77777777" w:rsidR="00923CC4" w:rsidRPr="00B748C7" w:rsidRDefault="00923CC4" w:rsidP="00923CC4">
      <w:pPr>
        <w:spacing w:after="0"/>
        <w:jc w:val="center"/>
        <w:rPr>
          <w:rFonts w:ascii="Calibri" w:hAnsi="Calibri" w:cs="Calibri"/>
          <w:b/>
          <w:sz w:val="36"/>
          <w:szCs w:val="36"/>
        </w:rPr>
      </w:pPr>
    </w:p>
    <w:p w14:paraId="7BDDE8C6" w14:textId="77777777" w:rsidR="00923CC4" w:rsidRPr="00B748C7" w:rsidRDefault="00923CC4" w:rsidP="00923CC4">
      <w:pPr>
        <w:spacing w:after="0"/>
        <w:jc w:val="center"/>
        <w:rPr>
          <w:rFonts w:ascii="Calibri" w:hAnsi="Calibri" w:cs="Calibri"/>
          <w:b/>
          <w:sz w:val="36"/>
          <w:szCs w:val="36"/>
        </w:rPr>
      </w:pPr>
      <w:r w:rsidRPr="00B748C7">
        <w:rPr>
          <w:rFonts w:ascii="Calibri" w:hAnsi="Calibri" w:cs="Calibri"/>
          <w:b/>
          <w:sz w:val="36"/>
          <w:szCs w:val="36"/>
        </w:rPr>
        <w:t>MARCHE PUBLIC DE SERVICES</w:t>
      </w:r>
    </w:p>
    <w:p w14:paraId="0B37DD48" w14:textId="77777777" w:rsidR="00923CC4" w:rsidRPr="00E0304B" w:rsidRDefault="00923CC4" w:rsidP="00923CC4">
      <w:pPr>
        <w:spacing w:after="0"/>
        <w:jc w:val="center"/>
        <w:rPr>
          <w:b/>
          <w:sz w:val="36"/>
          <w:szCs w:val="36"/>
        </w:rPr>
      </w:pPr>
      <w:r w:rsidRPr="00E0304B">
        <w:rPr>
          <w:b/>
          <w:sz w:val="36"/>
          <w:szCs w:val="36"/>
        </w:rPr>
        <w:t>D’ASSI</w:t>
      </w:r>
      <w:r>
        <w:rPr>
          <w:b/>
          <w:sz w:val="36"/>
          <w:szCs w:val="36"/>
        </w:rPr>
        <w:t>S</w:t>
      </w:r>
      <w:r w:rsidRPr="00E0304B">
        <w:rPr>
          <w:b/>
          <w:sz w:val="36"/>
          <w:szCs w:val="36"/>
        </w:rPr>
        <w:t>TANCE A MAITRISE D’OUVRAGE (AMO)</w:t>
      </w:r>
    </w:p>
    <w:p w14:paraId="7930D59D" w14:textId="77777777" w:rsidR="00923CC4" w:rsidRPr="00E0304B" w:rsidRDefault="00923CC4" w:rsidP="00923CC4">
      <w:pPr>
        <w:spacing w:after="0"/>
        <w:jc w:val="center"/>
        <w:rPr>
          <w:b/>
          <w:sz w:val="36"/>
          <w:szCs w:val="36"/>
        </w:rPr>
      </w:pPr>
    </w:p>
    <w:p w14:paraId="617FECA8" w14:textId="77777777" w:rsidR="00923CC4" w:rsidRPr="009C3D36" w:rsidRDefault="00923CC4" w:rsidP="00923CC4">
      <w:pPr>
        <w:spacing w:after="0" w:line="480" w:lineRule="exact"/>
        <w:jc w:val="center"/>
        <w:rPr>
          <w:b/>
          <w:caps/>
          <w:sz w:val="48"/>
          <w:szCs w:val="48"/>
        </w:rPr>
      </w:pPr>
      <w:r>
        <w:rPr>
          <w:b/>
          <w:caps/>
          <w:sz w:val="48"/>
          <w:szCs w:val="48"/>
        </w:rPr>
        <w:t>CONSTRUCTION D’UN NOUVEL</w:t>
      </w:r>
    </w:p>
    <w:p w14:paraId="03A6D65B" w14:textId="77777777" w:rsidR="00923CC4" w:rsidRDefault="00923CC4" w:rsidP="00923CC4">
      <w:pPr>
        <w:spacing w:after="0" w:line="480" w:lineRule="exact"/>
        <w:jc w:val="center"/>
        <w:rPr>
          <w:b/>
          <w:caps/>
          <w:sz w:val="48"/>
          <w:szCs w:val="48"/>
        </w:rPr>
      </w:pPr>
      <w:r>
        <w:rPr>
          <w:b/>
          <w:caps/>
          <w:sz w:val="48"/>
          <w:szCs w:val="48"/>
        </w:rPr>
        <w:t>EQUIPEMENT POLYVALENT</w:t>
      </w:r>
    </w:p>
    <w:p w14:paraId="327A150F" w14:textId="09EC8CBB" w:rsidR="00923CC4" w:rsidRDefault="00923CC4" w:rsidP="00923CC4">
      <w:pPr>
        <w:spacing w:after="0" w:line="480" w:lineRule="exact"/>
        <w:jc w:val="center"/>
        <w:rPr>
          <w:b/>
          <w:caps/>
          <w:sz w:val="48"/>
          <w:szCs w:val="48"/>
        </w:rPr>
      </w:pPr>
    </w:p>
    <w:p w14:paraId="3E2B4784" w14:textId="77777777" w:rsidR="00923CC4" w:rsidRPr="00E0304B" w:rsidRDefault="00923CC4" w:rsidP="00923CC4">
      <w:pPr>
        <w:spacing w:after="0" w:line="480" w:lineRule="exact"/>
        <w:jc w:val="center"/>
        <w:rPr>
          <w:b/>
          <w:sz w:val="36"/>
          <w:szCs w:val="36"/>
        </w:rPr>
      </w:pPr>
    </w:p>
    <w:p w14:paraId="1D6368F9" w14:textId="550B8EF0" w:rsidR="00923CC4" w:rsidRPr="00E0304B" w:rsidRDefault="00923CC4" w:rsidP="00923CC4">
      <w:pPr>
        <w:spacing w:after="0"/>
        <w:jc w:val="center"/>
        <w:rPr>
          <w:b/>
          <w:sz w:val="36"/>
          <w:szCs w:val="36"/>
        </w:rPr>
      </w:pPr>
      <w:r w:rsidRPr="00E0304B">
        <w:rPr>
          <w:b/>
          <w:sz w:val="36"/>
          <w:szCs w:val="36"/>
        </w:rPr>
        <w:t xml:space="preserve">Cahier des Clauses </w:t>
      </w:r>
      <w:r>
        <w:rPr>
          <w:b/>
          <w:sz w:val="36"/>
          <w:szCs w:val="36"/>
        </w:rPr>
        <w:t xml:space="preserve">Administratives </w:t>
      </w:r>
      <w:r w:rsidRPr="00E0304B">
        <w:rPr>
          <w:b/>
          <w:sz w:val="36"/>
          <w:szCs w:val="36"/>
        </w:rPr>
        <w:t>Particulières (</w:t>
      </w:r>
      <w:r>
        <w:rPr>
          <w:b/>
          <w:sz w:val="36"/>
          <w:szCs w:val="36"/>
        </w:rPr>
        <w:t>CCA</w:t>
      </w:r>
      <w:r w:rsidRPr="00E0304B">
        <w:rPr>
          <w:b/>
          <w:sz w:val="36"/>
          <w:szCs w:val="36"/>
        </w:rPr>
        <w:t>P)</w:t>
      </w:r>
    </w:p>
    <w:p w14:paraId="622FADC0" w14:textId="77777777" w:rsidR="003600CA" w:rsidRDefault="00CA3021" w:rsidP="003A51DE">
      <w:r>
        <w:br w:type="page"/>
      </w:r>
    </w:p>
    <w:p w14:paraId="68F26E89" w14:textId="77777777" w:rsidR="004D47D0" w:rsidRDefault="004D47D0" w:rsidP="007D0F51">
      <w:pPr>
        <w:jc w:val="both"/>
      </w:pPr>
    </w:p>
    <w:sdt>
      <w:sdtPr>
        <w:rPr>
          <w:rFonts w:asciiTheme="minorHAnsi" w:eastAsiaTheme="minorHAnsi" w:hAnsiTheme="minorHAnsi" w:cstheme="minorBidi"/>
          <w:color w:val="auto"/>
          <w:sz w:val="22"/>
          <w:szCs w:val="22"/>
          <w:lang w:eastAsia="en-US"/>
        </w:rPr>
        <w:id w:val="334731626"/>
        <w:docPartObj>
          <w:docPartGallery w:val="Table of Contents"/>
          <w:docPartUnique/>
        </w:docPartObj>
      </w:sdtPr>
      <w:sdtEndPr>
        <w:rPr>
          <w:b/>
          <w:bCs/>
        </w:rPr>
      </w:sdtEndPr>
      <w:sdtContent>
        <w:p w14:paraId="3787683E" w14:textId="77777777" w:rsidR="004D47D0" w:rsidRDefault="004D47D0" w:rsidP="007D0F51">
          <w:pPr>
            <w:pStyle w:val="En-ttedetabledesmatires"/>
            <w:jc w:val="both"/>
          </w:pPr>
          <w:r>
            <w:t>Table des matières</w:t>
          </w:r>
        </w:p>
        <w:p w14:paraId="60B6F0A2" w14:textId="77777777" w:rsidR="004D47D0" w:rsidRPr="004D47D0" w:rsidRDefault="004D47D0" w:rsidP="007D0F51">
          <w:pPr>
            <w:jc w:val="both"/>
            <w:rPr>
              <w:lang w:eastAsia="fr-FR"/>
            </w:rPr>
          </w:pPr>
        </w:p>
        <w:p w14:paraId="20334E48" w14:textId="2577901C" w:rsidR="008F7D2D" w:rsidRDefault="004D47D0">
          <w:pPr>
            <w:pStyle w:val="TM1"/>
            <w:tabs>
              <w:tab w:val="right" w:leader="dot" w:pos="8779"/>
            </w:tabs>
            <w:rPr>
              <w:rFonts w:eastAsiaTheme="minorEastAsia"/>
              <w:noProof/>
              <w:lang w:eastAsia="fr-FR"/>
            </w:rPr>
          </w:pPr>
          <w:r>
            <w:fldChar w:fldCharType="begin"/>
          </w:r>
          <w:r>
            <w:instrText xml:space="preserve"> TOC \o "1-3" \h \z \u </w:instrText>
          </w:r>
          <w:r>
            <w:fldChar w:fldCharType="separate"/>
          </w:r>
          <w:hyperlink w:anchor="_Toc135834128" w:history="1">
            <w:r w:rsidR="008F7D2D" w:rsidRPr="00904602">
              <w:rPr>
                <w:rStyle w:val="Lienhypertexte"/>
                <w:noProof/>
              </w:rPr>
              <w:t>I. GENERALITES</w:t>
            </w:r>
            <w:r w:rsidR="008F7D2D">
              <w:rPr>
                <w:noProof/>
                <w:webHidden/>
              </w:rPr>
              <w:tab/>
            </w:r>
            <w:r w:rsidR="008F7D2D">
              <w:rPr>
                <w:noProof/>
                <w:webHidden/>
              </w:rPr>
              <w:fldChar w:fldCharType="begin"/>
            </w:r>
            <w:r w:rsidR="008F7D2D">
              <w:rPr>
                <w:noProof/>
                <w:webHidden/>
              </w:rPr>
              <w:instrText xml:space="preserve"> PAGEREF _Toc135834128 \h </w:instrText>
            </w:r>
            <w:r w:rsidR="008F7D2D">
              <w:rPr>
                <w:noProof/>
                <w:webHidden/>
              </w:rPr>
            </w:r>
            <w:r w:rsidR="008F7D2D">
              <w:rPr>
                <w:noProof/>
                <w:webHidden/>
              </w:rPr>
              <w:fldChar w:fldCharType="separate"/>
            </w:r>
            <w:r w:rsidR="008F7D2D">
              <w:rPr>
                <w:noProof/>
                <w:webHidden/>
              </w:rPr>
              <w:t>3</w:t>
            </w:r>
            <w:r w:rsidR="008F7D2D">
              <w:rPr>
                <w:noProof/>
                <w:webHidden/>
              </w:rPr>
              <w:fldChar w:fldCharType="end"/>
            </w:r>
          </w:hyperlink>
        </w:p>
        <w:p w14:paraId="6B4EF652" w14:textId="44D68A1F" w:rsidR="008F7D2D" w:rsidRDefault="008F7D2D">
          <w:pPr>
            <w:pStyle w:val="TM2"/>
            <w:tabs>
              <w:tab w:val="right" w:leader="dot" w:pos="8779"/>
            </w:tabs>
            <w:rPr>
              <w:rFonts w:eastAsiaTheme="minorEastAsia"/>
              <w:noProof/>
              <w:lang w:eastAsia="fr-FR"/>
            </w:rPr>
          </w:pPr>
          <w:hyperlink w:anchor="_Toc135834129" w:history="1">
            <w:r w:rsidRPr="00904602">
              <w:rPr>
                <w:rStyle w:val="Lienhypertexte"/>
                <w:noProof/>
              </w:rPr>
              <w:t>I.1. Objet du marché public</w:t>
            </w:r>
            <w:r>
              <w:rPr>
                <w:noProof/>
                <w:webHidden/>
              </w:rPr>
              <w:tab/>
            </w:r>
            <w:r>
              <w:rPr>
                <w:noProof/>
                <w:webHidden/>
              </w:rPr>
              <w:fldChar w:fldCharType="begin"/>
            </w:r>
            <w:r>
              <w:rPr>
                <w:noProof/>
                <w:webHidden/>
              </w:rPr>
              <w:instrText xml:space="preserve"> PAGEREF _Toc135834129 \h </w:instrText>
            </w:r>
            <w:r>
              <w:rPr>
                <w:noProof/>
                <w:webHidden/>
              </w:rPr>
            </w:r>
            <w:r>
              <w:rPr>
                <w:noProof/>
                <w:webHidden/>
              </w:rPr>
              <w:fldChar w:fldCharType="separate"/>
            </w:r>
            <w:r>
              <w:rPr>
                <w:noProof/>
                <w:webHidden/>
              </w:rPr>
              <w:t>3</w:t>
            </w:r>
            <w:r>
              <w:rPr>
                <w:noProof/>
                <w:webHidden/>
              </w:rPr>
              <w:fldChar w:fldCharType="end"/>
            </w:r>
          </w:hyperlink>
        </w:p>
        <w:p w14:paraId="4F4CA3A5" w14:textId="24F2A3AB" w:rsidR="008F7D2D" w:rsidRDefault="008F7D2D">
          <w:pPr>
            <w:pStyle w:val="TM2"/>
            <w:tabs>
              <w:tab w:val="right" w:leader="dot" w:pos="8779"/>
            </w:tabs>
            <w:rPr>
              <w:rFonts w:eastAsiaTheme="minorEastAsia"/>
              <w:noProof/>
              <w:lang w:eastAsia="fr-FR"/>
            </w:rPr>
          </w:pPr>
          <w:hyperlink w:anchor="_Toc135834130" w:history="1">
            <w:r w:rsidRPr="00904602">
              <w:rPr>
                <w:rStyle w:val="Lienhypertexte"/>
                <w:noProof/>
              </w:rPr>
              <w:t>I.2. Obligations générales des parties</w:t>
            </w:r>
            <w:r>
              <w:rPr>
                <w:noProof/>
                <w:webHidden/>
              </w:rPr>
              <w:tab/>
            </w:r>
            <w:r>
              <w:rPr>
                <w:noProof/>
                <w:webHidden/>
              </w:rPr>
              <w:fldChar w:fldCharType="begin"/>
            </w:r>
            <w:r>
              <w:rPr>
                <w:noProof/>
                <w:webHidden/>
              </w:rPr>
              <w:instrText xml:space="preserve"> PAGEREF _Toc135834130 \h </w:instrText>
            </w:r>
            <w:r>
              <w:rPr>
                <w:noProof/>
                <w:webHidden/>
              </w:rPr>
            </w:r>
            <w:r>
              <w:rPr>
                <w:noProof/>
                <w:webHidden/>
              </w:rPr>
              <w:fldChar w:fldCharType="separate"/>
            </w:r>
            <w:r>
              <w:rPr>
                <w:noProof/>
                <w:webHidden/>
              </w:rPr>
              <w:t>3</w:t>
            </w:r>
            <w:r>
              <w:rPr>
                <w:noProof/>
                <w:webHidden/>
              </w:rPr>
              <w:fldChar w:fldCharType="end"/>
            </w:r>
          </w:hyperlink>
        </w:p>
        <w:p w14:paraId="4A2ED485" w14:textId="27844BE9" w:rsidR="008F7D2D" w:rsidRDefault="008F7D2D">
          <w:pPr>
            <w:pStyle w:val="TM3"/>
            <w:tabs>
              <w:tab w:val="right" w:leader="dot" w:pos="8779"/>
            </w:tabs>
            <w:rPr>
              <w:rFonts w:eastAsiaTheme="minorEastAsia"/>
              <w:noProof/>
              <w:lang w:eastAsia="fr-FR"/>
            </w:rPr>
          </w:pPr>
          <w:hyperlink w:anchor="_Toc135834131" w:history="1">
            <w:r w:rsidRPr="00904602">
              <w:rPr>
                <w:rStyle w:val="Lienhypertexte"/>
                <w:noProof/>
              </w:rPr>
              <w:t>I.2.1. Conduite des prestations par une personne nommément désignée</w:t>
            </w:r>
            <w:r>
              <w:rPr>
                <w:noProof/>
                <w:webHidden/>
              </w:rPr>
              <w:tab/>
            </w:r>
            <w:r>
              <w:rPr>
                <w:noProof/>
                <w:webHidden/>
              </w:rPr>
              <w:fldChar w:fldCharType="begin"/>
            </w:r>
            <w:r>
              <w:rPr>
                <w:noProof/>
                <w:webHidden/>
              </w:rPr>
              <w:instrText xml:space="preserve"> PAGEREF _Toc135834131 \h </w:instrText>
            </w:r>
            <w:r>
              <w:rPr>
                <w:noProof/>
                <w:webHidden/>
              </w:rPr>
            </w:r>
            <w:r>
              <w:rPr>
                <w:noProof/>
                <w:webHidden/>
              </w:rPr>
              <w:fldChar w:fldCharType="separate"/>
            </w:r>
            <w:r>
              <w:rPr>
                <w:noProof/>
                <w:webHidden/>
              </w:rPr>
              <w:t>3</w:t>
            </w:r>
            <w:r>
              <w:rPr>
                <w:noProof/>
                <w:webHidden/>
              </w:rPr>
              <w:fldChar w:fldCharType="end"/>
            </w:r>
          </w:hyperlink>
        </w:p>
        <w:p w14:paraId="019BDB85" w14:textId="1DA700FC" w:rsidR="008F7D2D" w:rsidRDefault="008F7D2D">
          <w:pPr>
            <w:pStyle w:val="TM3"/>
            <w:tabs>
              <w:tab w:val="right" w:leader="dot" w:pos="8779"/>
            </w:tabs>
            <w:rPr>
              <w:rFonts w:eastAsiaTheme="minorEastAsia"/>
              <w:noProof/>
              <w:lang w:eastAsia="fr-FR"/>
            </w:rPr>
          </w:pPr>
          <w:hyperlink w:anchor="_Toc135834132" w:history="1">
            <w:r w:rsidRPr="00904602">
              <w:rPr>
                <w:rStyle w:val="Lienhypertexte"/>
                <w:noProof/>
              </w:rPr>
              <w:t>I.2.2. Groupement d’opérateurs économiques</w:t>
            </w:r>
            <w:r>
              <w:rPr>
                <w:noProof/>
                <w:webHidden/>
              </w:rPr>
              <w:tab/>
            </w:r>
            <w:r>
              <w:rPr>
                <w:noProof/>
                <w:webHidden/>
              </w:rPr>
              <w:fldChar w:fldCharType="begin"/>
            </w:r>
            <w:r>
              <w:rPr>
                <w:noProof/>
                <w:webHidden/>
              </w:rPr>
              <w:instrText xml:space="preserve"> PAGEREF _Toc135834132 \h </w:instrText>
            </w:r>
            <w:r>
              <w:rPr>
                <w:noProof/>
                <w:webHidden/>
              </w:rPr>
            </w:r>
            <w:r>
              <w:rPr>
                <w:noProof/>
                <w:webHidden/>
              </w:rPr>
              <w:fldChar w:fldCharType="separate"/>
            </w:r>
            <w:r>
              <w:rPr>
                <w:noProof/>
                <w:webHidden/>
              </w:rPr>
              <w:t>3</w:t>
            </w:r>
            <w:r>
              <w:rPr>
                <w:noProof/>
                <w:webHidden/>
              </w:rPr>
              <w:fldChar w:fldCharType="end"/>
            </w:r>
          </w:hyperlink>
        </w:p>
        <w:p w14:paraId="534131B1" w14:textId="45C872AE" w:rsidR="008F7D2D" w:rsidRDefault="008F7D2D">
          <w:pPr>
            <w:pStyle w:val="TM3"/>
            <w:tabs>
              <w:tab w:val="right" w:leader="dot" w:pos="8779"/>
            </w:tabs>
            <w:rPr>
              <w:rFonts w:eastAsiaTheme="minorEastAsia"/>
              <w:noProof/>
              <w:lang w:eastAsia="fr-FR"/>
            </w:rPr>
          </w:pPr>
          <w:hyperlink w:anchor="_Toc135834133" w:history="1">
            <w:r w:rsidRPr="00904602">
              <w:rPr>
                <w:rStyle w:val="Lienhypertexte"/>
                <w:noProof/>
              </w:rPr>
              <w:t>I.2.3. Sous-traitance</w:t>
            </w:r>
            <w:r>
              <w:rPr>
                <w:noProof/>
                <w:webHidden/>
              </w:rPr>
              <w:tab/>
            </w:r>
            <w:r>
              <w:rPr>
                <w:noProof/>
                <w:webHidden/>
              </w:rPr>
              <w:fldChar w:fldCharType="begin"/>
            </w:r>
            <w:r>
              <w:rPr>
                <w:noProof/>
                <w:webHidden/>
              </w:rPr>
              <w:instrText xml:space="preserve"> PAGEREF _Toc135834133 \h </w:instrText>
            </w:r>
            <w:r>
              <w:rPr>
                <w:noProof/>
                <w:webHidden/>
              </w:rPr>
            </w:r>
            <w:r>
              <w:rPr>
                <w:noProof/>
                <w:webHidden/>
              </w:rPr>
              <w:fldChar w:fldCharType="separate"/>
            </w:r>
            <w:r>
              <w:rPr>
                <w:noProof/>
                <w:webHidden/>
              </w:rPr>
              <w:t>4</w:t>
            </w:r>
            <w:r>
              <w:rPr>
                <w:noProof/>
                <w:webHidden/>
              </w:rPr>
              <w:fldChar w:fldCharType="end"/>
            </w:r>
          </w:hyperlink>
        </w:p>
        <w:p w14:paraId="071C2BDF" w14:textId="6BA20DF7" w:rsidR="008F7D2D" w:rsidRDefault="008F7D2D">
          <w:pPr>
            <w:pStyle w:val="TM3"/>
            <w:tabs>
              <w:tab w:val="right" w:leader="dot" w:pos="8779"/>
            </w:tabs>
            <w:rPr>
              <w:rFonts w:eastAsiaTheme="minorEastAsia"/>
              <w:noProof/>
              <w:lang w:eastAsia="fr-FR"/>
            </w:rPr>
          </w:pPr>
          <w:hyperlink w:anchor="_Toc135834134" w:history="1">
            <w:r w:rsidRPr="00904602">
              <w:rPr>
                <w:rStyle w:val="Lienhypertexte"/>
                <w:noProof/>
              </w:rPr>
              <w:t>I.2.4. Ordres de service</w:t>
            </w:r>
            <w:r>
              <w:rPr>
                <w:noProof/>
                <w:webHidden/>
              </w:rPr>
              <w:tab/>
            </w:r>
            <w:r>
              <w:rPr>
                <w:noProof/>
                <w:webHidden/>
              </w:rPr>
              <w:fldChar w:fldCharType="begin"/>
            </w:r>
            <w:r>
              <w:rPr>
                <w:noProof/>
                <w:webHidden/>
              </w:rPr>
              <w:instrText xml:space="preserve"> PAGEREF _Toc135834134 \h </w:instrText>
            </w:r>
            <w:r>
              <w:rPr>
                <w:noProof/>
                <w:webHidden/>
              </w:rPr>
            </w:r>
            <w:r>
              <w:rPr>
                <w:noProof/>
                <w:webHidden/>
              </w:rPr>
              <w:fldChar w:fldCharType="separate"/>
            </w:r>
            <w:r>
              <w:rPr>
                <w:noProof/>
                <w:webHidden/>
              </w:rPr>
              <w:t>4</w:t>
            </w:r>
            <w:r>
              <w:rPr>
                <w:noProof/>
                <w:webHidden/>
              </w:rPr>
              <w:fldChar w:fldCharType="end"/>
            </w:r>
          </w:hyperlink>
        </w:p>
        <w:p w14:paraId="5ECBBD69" w14:textId="658718EB" w:rsidR="008F7D2D" w:rsidRDefault="008F7D2D">
          <w:pPr>
            <w:pStyle w:val="TM2"/>
            <w:tabs>
              <w:tab w:val="right" w:leader="dot" w:pos="8779"/>
            </w:tabs>
            <w:rPr>
              <w:rFonts w:eastAsiaTheme="minorEastAsia"/>
              <w:noProof/>
              <w:lang w:eastAsia="fr-FR"/>
            </w:rPr>
          </w:pPr>
          <w:hyperlink w:anchor="_Toc135834135" w:history="1">
            <w:r w:rsidRPr="00904602">
              <w:rPr>
                <w:rStyle w:val="Lienhypertexte"/>
                <w:noProof/>
              </w:rPr>
              <w:t>I.3. Pièces contractuelles</w:t>
            </w:r>
            <w:r>
              <w:rPr>
                <w:noProof/>
                <w:webHidden/>
              </w:rPr>
              <w:tab/>
            </w:r>
            <w:r>
              <w:rPr>
                <w:noProof/>
                <w:webHidden/>
              </w:rPr>
              <w:fldChar w:fldCharType="begin"/>
            </w:r>
            <w:r>
              <w:rPr>
                <w:noProof/>
                <w:webHidden/>
              </w:rPr>
              <w:instrText xml:space="preserve"> PAGEREF _Toc135834135 \h </w:instrText>
            </w:r>
            <w:r>
              <w:rPr>
                <w:noProof/>
                <w:webHidden/>
              </w:rPr>
            </w:r>
            <w:r>
              <w:rPr>
                <w:noProof/>
                <w:webHidden/>
              </w:rPr>
              <w:fldChar w:fldCharType="separate"/>
            </w:r>
            <w:r>
              <w:rPr>
                <w:noProof/>
                <w:webHidden/>
              </w:rPr>
              <w:t>4</w:t>
            </w:r>
            <w:r>
              <w:rPr>
                <w:noProof/>
                <w:webHidden/>
              </w:rPr>
              <w:fldChar w:fldCharType="end"/>
            </w:r>
          </w:hyperlink>
        </w:p>
        <w:p w14:paraId="492E5636" w14:textId="035867B9" w:rsidR="008F7D2D" w:rsidRDefault="008F7D2D">
          <w:pPr>
            <w:pStyle w:val="TM3"/>
            <w:tabs>
              <w:tab w:val="right" w:leader="dot" w:pos="8779"/>
            </w:tabs>
            <w:rPr>
              <w:rFonts w:eastAsiaTheme="minorEastAsia"/>
              <w:noProof/>
              <w:lang w:eastAsia="fr-FR"/>
            </w:rPr>
          </w:pPr>
          <w:hyperlink w:anchor="_Toc135834136" w:history="1">
            <w:r w:rsidRPr="00904602">
              <w:rPr>
                <w:rStyle w:val="Lienhypertexte"/>
                <w:noProof/>
              </w:rPr>
              <w:t>I.3.1. CCAG PI 2021</w:t>
            </w:r>
            <w:r>
              <w:rPr>
                <w:noProof/>
                <w:webHidden/>
              </w:rPr>
              <w:tab/>
            </w:r>
            <w:r>
              <w:rPr>
                <w:noProof/>
                <w:webHidden/>
              </w:rPr>
              <w:fldChar w:fldCharType="begin"/>
            </w:r>
            <w:r>
              <w:rPr>
                <w:noProof/>
                <w:webHidden/>
              </w:rPr>
              <w:instrText xml:space="preserve"> PAGEREF _Toc135834136 \h </w:instrText>
            </w:r>
            <w:r>
              <w:rPr>
                <w:noProof/>
                <w:webHidden/>
              </w:rPr>
            </w:r>
            <w:r>
              <w:rPr>
                <w:noProof/>
                <w:webHidden/>
              </w:rPr>
              <w:fldChar w:fldCharType="separate"/>
            </w:r>
            <w:r>
              <w:rPr>
                <w:noProof/>
                <w:webHidden/>
              </w:rPr>
              <w:t>4</w:t>
            </w:r>
            <w:r>
              <w:rPr>
                <w:noProof/>
                <w:webHidden/>
              </w:rPr>
              <w:fldChar w:fldCharType="end"/>
            </w:r>
          </w:hyperlink>
        </w:p>
        <w:p w14:paraId="11AE3321" w14:textId="29A263E1" w:rsidR="008F7D2D" w:rsidRDefault="008F7D2D">
          <w:pPr>
            <w:pStyle w:val="TM3"/>
            <w:tabs>
              <w:tab w:val="right" w:leader="dot" w:pos="8779"/>
            </w:tabs>
            <w:rPr>
              <w:rFonts w:eastAsiaTheme="minorEastAsia"/>
              <w:noProof/>
              <w:lang w:eastAsia="fr-FR"/>
            </w:rPr>
          </w:pPr>
          <w:hyperlink w:anchor="_Toc135834137" w:history="1">
            <w:r w:rsidRPr="00904602">
              <w:rPr>
                <w:rStyle w:val="Lienhypertexte"/>
                <w:noProof/>
              </w:rPr>
              <w:t>I.3.2. Ordre de priorité</w:t>
            </w:r>
            <w:r>
              <w:rPr>
                <w:noProof/>
                <w:webHidden/>
              </w:rPr>
              <w:tab/>
            </w:r>
            <w:r>
              <w:rPr>
                <w:noProof/>
                <w:webHidden/>
              </w:rPr>
              <w:fldChar w:fldCharType="begin"/>
            </w:r>
            <w:r>
              <w:rPr>
                <w:noProof/>
                <w:webHidden/>
              </w:rPr>
              <w:instrText xml:space="preserve"> PAGEREF _Toc135834137 \h </w:instrText>
            </w:r>
            <w:r>
              <w:rPr>
                <w:noProof/>
                <w:webHidden/>
              </w:rPr>
            </w:r>
            <w:r>
              <w:rPr>
                <w:noProof/>
                <w:webHidden/>
              </w:rPr>
              <w:fldChar w:fldCharType="separate"/>
            </w:r>
            <w:r>
              <w:rPr>
                <w:noProof/>
                <w:webHidden/>
              </w:rPr>
              <w:t>4</w:t>
            </w:r>
            <w:r>
              <w:rPr>
                <w:noProof/>
                <w:webHidden/>
              </w:rPr>
              <w:fldChar w:fldCharType="end"/>
            </w:r>
          </w:hyperlink>
        </w:p>
        <w:p w14:paraId="62EC46D6" w14:textId="21999073" w:rsidR="008F7D2D" w:rsidRDefault="008F7D2D">
          <w:pPr>
            <w:pStyle w:val="TM2"/>
            <w:tabs>
              <w:tab w:val="right" w:leader="dot" w:pos="8779"/>
            </w:tabs>
            <w:rPr>
              <w:rFonts w:eastAsiaTheme="minorEastAsia"/>
              <w:noProof/>
              <w:lang w:eastAsia="fr-FR"/>
            </w:rPr>
          </w:pPr>
          <w:hyperlink w:anchor="_Toc135834138" w:history="1">
            <w:r w:rsidRPr="00904602">
              <w:rPr>
                <w:rStyle w:val="Lienhypertexte"/>
                <w:noProof/>
              </w:rPr>
              <w:t>I.4. Examen de la situation fiscale et sociale</w:t>
            </w:r>
            <w:r>
              <w:rPr>
                <w:noProof/>
                <w:webHidden/>
              </w:rPr>
              <w:tab/>
            </w:r>
            <w:r>
              <w:rPr>
                <w:noProof/>
                <w:webHidden/>
              </w:rPr>
              <w:fldChar w:fldCharType="begin"/>
            </w:r>
            <w:r>
              <w:rPr>
                <w:noProof/>
                <w:webHidden/>
              </w:rPr>
              <w:instrText xml:space="preserve"> PAGEREF _Toc135834138 \h </w:instrText>
            </w:r>
            <w:r>
              <w:rPr>
                <w:noProof/>
                <w:webHidden/>
              </w:rPr>
            </w:r>
            <w:r>
              <w:rPr>
                <w:noProof/>
                <w:webHidden/>
              </w:rPr>
              <w:fldChar w:fldCharType="separate"/>
            </w:r>
            <w:r>
              <w:rPr>
                <w:noProof/>
                <w:webHidden/>
              </w:rPr>
              <w:t>5</w:t>
            </w:r>
            <w:r>
              <w:rPr>
                <w:noProof/>
                <w:webHidden/>
              </w:rPr>
              <w:fldChar w:fldCharType="end"/>
            </w:r>
          </w:hyperlink>
        </w:p>
        <w:p w14:paraId="1D667562" w14:textId="008CFDBF" w:rsidR="008F7D2D" w:rsidRDefault="008F7D2D">
          <w:pPr>
            <w:pStyle w:val="TM1"/>
            <w:tabs>
              <w:tab w:val="right" w:leader="dot" w:pos="8779"/>
            </w:tabs>
            <w:rPr>
              <w:rFonts w:eastAsiaTheme="minorEastAsia"/>
              <w:noProof/>
              <w:lang w:eastAsia="fr-FR"/>
            </w:rPr>
          </w:pPr>
          <w:hyperlink w:anchor="_Toc135834139" w:history="1">
            <w:r w:rsidRPr="00904602">
              <w:rPr>
                <w:rStyle w:val="Lienhypertexte"/>
                <w:noProof/>
              </w:rPr>
              <w:t>II. PRIX ET REGLEMENT</w:t>
            </w:r>
            <w:r>
              <w:rPr>
                <w:noProof/>
                <w:webHidden/>
              </w:rPr>
              <w:tab/>
            </w:r>
            <w:r>
              <w:rPr>
                <w:noProof/>
                <w:webHidden/>
              </w:rPr>
              <w:fldChar w:fldCharType="begin"/>
            </w:r>
            <w:r>
              <w:rPr>
                <w:noProof/>
                <w:webHidden/>
              </w:rPr>
              <w:instrText xml:space="preserve"> PAGEREF _Toc135834139 \h </w:instrText>
            </w:r>
            <w:r>
              <w:rPr>
                <w:noProof/>
                <w:webHidden/>
              </w:rPr>
            </w:r>
            <w:r>
              <w:rPr>
                <w:noProof/>
                <w:webHidden/>
              </w:rPr>
              <w:fldChar w:fldCharType="separate"/>
            </w:r>
            <w:r>
              <w:rPr>
                <w:noProof/>
                <w:webHidden/>
              </w:rPr>
              <w:t>5</w:t>
            </w:r>
            <w:r>
              <w:rPr>
                <w:noProof/>
                <w:webHidden/>
              </w:rPr>
              <w:fldChar w:fldCharType="end"/>
            </w:r>
          </w:hyperlink>
        </w:p>
        <w:p w14:paraId="7EB1EAD1" w14:textId="35FD87C7" w:rsidR="008F7D2D" w:rsidRDefault="008F7D2D">
          <w:pPr>
            <w:pStyle w:val="TM2"/>
            <w:tabs>
              <w:tab w:val="right" w:leader="dot" w:pos="8779"/>
            </w:tabs>
            <w:rPr>
              <w:rFonts w:eastAsiaTheme="minorEastAsia"/>
              <w:noProof/>
              <w:lang w:eastAsia="fr-FR"/>
            </w:rPr>
          </w:pPr>
          <w:hyperlink w:anchor="_Toc135834140" w:history="1">
            <w:r w:rsidRPr="00904602">
              <w:rPr>
                <w:rStyle w:val="Lienhypertexte"/>
                <w:noProof/>
              </w:rPr>
              <w:t>II.1. Prix</w:t>
            </w:r>
            <w:r>
              <w:rPr>
                <w:noProof/>
                <w:webHidden/>
              </w:rPr>
              <w:tab/>
            </w:r>
            <w:r>
              <w:rPr>
                <w:noProof/>
                <w:webHidden/>
              </w:rPr>
              <w:fldChar w:fldCharType="begin"/>
            </w:r>
            <w:r>
              <w:rPr>
                <w:noProof/>
                <w:webHidden/>
              </w:rPr>
              <w:instrText xml:space="preserve"> PAGEREF _Toc135834140 \h </w:instrText>
            </w:r>
            <w:r>
              <w:rPr>
                <w:noProof/>
                <w:webHidden/>
              </w:rPr>
            </w:r>
            <w:r>
              <w:rPr>
                <w:noProof/>
                <w:webHidden/>
              </w:rPr>
              <w:fldChar w:fldCharType="separate"/>
            </w:r>
            <w:r>
              <w:rPr>
                <w:noProof/>
                <w:webHidden/>
              </w:rPr>
              <w:t>5</w:t>
            </w:r>
            <w:r>
              <w:rPr>
                <w:noProof/>
                <w:webHidden/>
              </w:rPr>
              <w:fldChar w:fldCharType="end"/>
            </w:r>
          </w:hyperlink>
        </w:p>
        <w:p w14:paraId="0A8A594D" w14:textId="05D1773C" w:rsidR="008F7D2D" w:rsidRDefault="008F7D2D">
          <w:pPr>
            <w:pStyle w:val="TM2"/>
            <w:tabs>
              <w:tab w:val="right" w:leader="dot" w:pos="8779"/>
            </w:tabs>
            <w:rPr>
              <w:rFonts w:eastAsiaTheme="minorEastAsia"/>
              <w:noProof/>
              <w:lang w:eastAsia="fr-FR"/>
            </w:rPr>
          </w:pPr>
          <w:hyperlink w:anchor="_Toc135834141" w:history="1">
            <w:r w:rsidRPr="00904602">
              <w:rPr>
                <w:rStyle w:val="Lienhypertexte"/>
                <w:noProof/>
              </w:rPr>
              <w:t>II.2. Précisions sur les modalités de règlement</w:t>
            </w:r>
            <w:r>
              <w:rPr>
                <w:noProof/>
                <w:webHidden/>
              </w:rPr>
              <w:tab/>
            </w:r>
            <w:r>
              <w:rPr>
                <w:noProof/>
                <w:webHidden/>
              </w:rPr>
              <w:fldChar w:fldCharType="begin"/>
            </w:r>
            <w:r>
              <w:rPr>
                <w:noProof/>
                <w:webHidden/>
              </w:rPr>
              <w:instrText xml:space="preserve"> PAGEREF _Toc135834141 \h </w:instrText>
            </w:r>
            <w:r>
              <w:rPr>
                <w:noProof/>
                <w:webHidden/>
              </w:rPr>
            </w:r>
            <w:r>
              <w:rPr>
                <w:noProof/>
                <w:webHidden/>
              </w:rPr>
              <w:fldChar w:fldCharType="separate"/>
            </w:r>
            <w:r>
              <w:rPr>
                <w:noProof/>
                <w:webHidden/>
              </w:rPr>
              <w:t>5</w:t>
            </w:r>
            <w:r>
              <w:rPr>
                <w:noProof/>
                <w:webHidden/>
              </w:rPr>
              <w:fldChar w:fldCharType="end"/>
            </w:r>
          </w:hyperlink>
        </w:p>
        <w:p w14:paraId="78909EBC" w14:textId="4CC8F864" w:rsidR="008F7D2D" w:rsidRDefault="008F7D2D">
          <w:pPr>
            <w:pStyle w:val="TM3"/>
            <w:tabs>
              <w:tab w:val="right" w:leader="dot" w:pos="8779"/>
            </w:tabs>
            <w:rPr>
              <w:rFonts w:eastAsiaTheme="minorEastAsia"/>
              <w:noProof/>
              <w:lang w:eastAsia="fr-FR"/>
            </w:rPr>
          </w:pPr>
          <w:hyperlink w:anchor="_Toc135834142" w:history="1">
            <w:r w:rsidRPr="00904602">
              <w:rPr>
                <w:rStyle w:val="Lienhypertexte"/>
                <w:noProof/>
              </w:rPr>
              <w:t>II.2.1. Acomptes</w:t>
            </w:r>
            <w:r>
              <w:rPr>
                <w:noProof/>
                <w:webHidden/>
              </w:rPr>
              <w:tab/>
            </w:r>
            <w:r>
              <w:rPr>
                <w:noProof/>
                <w:webHidden/>
              </w:rPr>
              <w:fldChar w:fldCharType="begin"/>
            </w:r>
            <w:r>
              <w:rPr>
                <w:noProof/>
                <w:webHidden/>
              </w:rPr>
              <w:instrText xml:space="preserve"> PAGEREF _Toc135834142 \h </w:instrText>
            </w:r>
            <w:r>
              <w:rPr>
                <w:noProof/>
                <w:webHidden/>
              </w:rPr>
            </w:r>
            <w:r>
              <w:rPr>
                <w:noProof/>
                <w:webHidden/>
              </w:rPr>
              <w:fldChar w:fldCharType="separate"/>
            </w:r>
            <w:r>
              <w:rPr>
                <w:noProof/>
                <w:webHidden/>
              </w:rPr>
              <w:t>5</w:t>
            </w:r>
            <w:r>
              <w:rPr>
                <w:noProof/>
                <w:webHidden/>
              </w:rPr>
              <w:fldChar w:fldCharType="end"/>
            </w:r>
          </w:hyperlink>
        </w:p>
        <w:p w14:paraId="5F26823D" w14:textId="13896B06" w:rsidR="008F7D2D" w:rsidRDefault="008F7D2D">
          <w:pPr>
            <w:pStyle w:val="TM3"/>
            <w:tabs>
              <w:tab w:val="right" w:leader="dot" w:pos="8779"/>
            </w:tabs>
            <w:rPr>
              <w:rFonts w:eastAsiaTheme="minorEastAsia"/>
              <w:noProof/>
              <w:lang w:eastAsia="fr-FR"/>
            </w:rPr>
          </w:pPr>
          <w:hyperlink w:anchor="_Toc135834143" w:history="1">
            <w:r w:rsidRPr="00904602">
              <w:rPr>
                <w:rStyle w:val="Lienhypertexte"/>
                <w:noProof/>
              </w:rPr>
              <w:t>II.2.2. Contenu de la demande de paiement</w:t>
            </w:r>
            <w:r>
              <w:rPr>
                <w:noProof/>
                <w:webHidden/>
              </w:rPr>
              <w:tab/>
            </w:r>
            <w:r>
              <w:rPr>
                <w:noProof/>
                <w:webHidden/>
              </w:rPr>
              <w:fldChar w:fldCharType="begin"/>
            </w:r>
            <w:r>
              <w:rPr>
                <w:noProof/>
                <w:webHidden/>
              </w:rPr>
              <w:instrText xml:space="preserve"> PAGEREF _Toc135834143 \h </w:instrText>
            </w:r>
            <w:r>
              <w:rPr>
                <w:noProof/>
                <w:webHidden/>
              </w:rPr>
            </w:r>
            <w:r>
              <w:rPr>
                <w:noProof/>
                <w:webHidden/>
              </w:rPr>
              <w:fldChar w:fldCharType="separate"/>
            </w:r>
            <w:r>
              <w:rPr>
                <w:noProof/>
                <w:webHidden/>
              </w:rPr>
              <w:t>5</w:t>
            </w:r>
            <w:r>
              <w:rPr>
                <w:noProof/>
                <w:webHidden/>
              </w:rPr>
              <w:fldChar w:fldCharType="end"/>
            </w:r>
          </w:hyperlink>
        </w:p>
        <w:p w14:paraId="635F4662" w14:textId="63834F6D" w:rsidR="008F7D2D" w:rsidRDefault="008F7D2D">
          <w:pPr>
            <w:pStyle w:val="TM1"/>
            <w:tabs>
              <w:tab w:val="right" w:leader="dot" w:pos="8779"/>
            </w:tabs>
            <w:rPr>
              <w:rFonts w:eastAsiaTheme="minorEastAsia"/>
              <w:noProof/>
              <w:lang w:eastAsia="fr-FR"/>
            </w:rPr>
          </w:pPr>
          <w:hyperlink w:anchor="_Toc135834144" w:history="1">
            <w:r w:rsidRPr="00904602">
              <w:rPr>
                <w:rStyle w:val="Lienhypertexte"/>
                <w:noProof/>
              </w:rPr>
              <w:t>III. EXECUTION</w:t>
            </w:r>
            <w:r>
              <w:rPr>
                <w:noProof/>
                <w:webHidden/>
              </w:rPr>
              <w:tab/>
            </w:r>
            <w:r>
              <w:rPr>
                <w:noProof/>
                <w:webHidden/>
              </w:rPr>
              <w:fldChar w:fldCharType="begin"/>
            </w:r>
            <w:r>
              <w:rPr>
                <w:noProof/>
                <w:webHidden/>
              </w:rPr>
              <w:instrText xml:space="preserve"> PAGEREF _Toc135834144 \h </w:instrText>
            </w:r>
            <w:r>
              <w:rPr>
                <w:noProof/>
                <w:webHidden/>
              </w:rPr>
            </w:r>
            <w:r>
              <w:rPr>
                <w:noProof/>
                <w:webHidden/>
              </w:rPr>
              <w:fldChar w:fldCharType="separate"/>
            </w:r>
            <w:r>
              <w:rPr>
                <w:noProof/>
                <w:webHidden/>
              </w:rPr>
              <w:t>6</w:t>
            </w:r>
            <w:r>
              <w:rPr>
                <w:noProof/>
                <w:webHidden/>
              </w:rPr>
              <w:fldChar w:fldCharType="end"/>
            </w:r>
          </w:hyperlink>
        </w:p>
        <w:p w14:paraId="591C10D7" w14:textId="0B774060" w:rsidR="008F7D2D" w:rsidRDefault="008F7D2D">
          <w:pPr>
            <w:pStyle w:val="TM2"/>
            <w:tabs>
              <w:tab w:val="right" w:leader="dot" w:pos="8779"/>
            </w:tabs>
            <w:rPr>
              <w:rFonts w:eastAsiaTheme="minorEastAsia"/>
              <w:noProof/>
              <w:lang w:eastAsia="fr-FR"/>
            </w:rPr>
          </w:pPr>
          <w:hyperlink w:anchor="_Toc135834145" w:history="1">
            <w:r w:rsidRPr="00904602">
              <w:rPr>
                <w:rStyle w:val="Lienhypertexte"/>
                <w:noProof/>
              </w:rPr>
              <w:t>III.1. Délais d’exécution</w:t>
            </w:r>
            <w:r>
              <w:rPr>
                <w:noProof/>
                <w:webHidden/>
              </w:rPr>
              <w:tab/>
            </w:r>
            <w:r>
              <w:rPr>
                <w:noProof/>
                <w:webHidden/>
              </w:rPr>
              <w:fldChar w:fldCharType="begin"/>
            </w:r>
            <w:r>
              <w:rPr>
                <w:noProof/>
                <w:webHidden/>
              </w:rPr>
              <w:instrText xml:space="preserve"> PAGEREF _Toc135834145 \h </w:instrText>
            </w:r>
            <w:r>
              <w:rPr>
                <w:noProof/>
                <w:webHidden/>
              </w:rPr>
            </w:r>
            <w:r>
              <w:rPr>
                <w:noProof/>
                <w:webHidden/>
              </w:rPr>
              <w:fldChar w:fldCharType="separate"/>
            </w:r>
            <w:r>
              <w:rPr>
                <w:noProof/>
                <w:webHidden/>
              </w:rPr>
              <w:t>6</w:t>
            </w:r>
            <w:r>
              <w:rPr>
                <w:noProof/>
                <w:webHidden/>
              </w:rPr>
              <w:fldChar w:fldCharType="end"/>
            </w:r>
          </w:hyperlink>
        </w:p>
        <w:p w14:paraId="24BEEFE2" w14:textId="423EF42C" w:rsidR="008F7D2D" w:rsidRDefault="008F7D2D">
          <w:pPr>
            <w:pStyle w:val="TM2"/>
            <w:tabs>
              <w:tab w:val="right" w:leader="dot" w:pos="8779"/>
            </w:tabs>
            <w:rPr>
              <w:rFonts w:eastAsiaTheme="minorEastAsia"/>
              <w:noProof/>
              <w:lang w:eastAsia="fr-FR"/>
            </w:rPr>
          </w:pPr>
          <w:hyperlink w:anchor="_Toc135834146" w:history="1">
            <w:r w:rsidRPr="00904602">
              <w:rPr>
                <w:rStyle w:val="Lienhypertexte"/>
                <w:noProof/>
              </w:rPr>
              <w:t>III.2. Pénalités</w:t>
            </w:r>
            <w:r>
              <w:rPr>
                <w:noProof/>
                <w:webHidden/>
              </w:rPr>
              <w:tab/>
            </w:r>
            <w:r>
              <w:rPr>
                <w:noProof/>
                <w:webHidden/>
              </w:rPr>
              <w:fldChar w:fldCharType="begin"/>
            </w:r>
            <w:r>
              <w:rPr>
                <w:noProof/>
                <w:webHidden/>
              </w:rPr>
              <w:instrText xml:space="preserve"> PAGEREF _Toc135834146 \h </w:instrText>
            </w:r>
            <w:r>
              <w:rPr>
                <w:noProof/>
                <w:webHidden/>
              </w:rPr>
            </w:r>
            <w:r>
              <w:rPr>
                <w:noProof/>
                <w:webHidden/>
              </w:rPr>
              <w:fldChar w:fldCharType="separate"/>
            </w:r>
            <w:r>
              <w:rPr>
                <w:noProof/>
                <w:webHidden/>
              </w:rPr>
              <w:t>6</w:t>
            </w:r>
            <w:r>
              <w:rPr>
                <w:noProof/>
                <w:webHidden/>
              </w:rPr>
              <w:fldChar w:fldCharType="end"/>
            </w:r>
          </w:hyperlink>
        </w:p>
        <w:p w14:paraId="4C057A88" w14:textId="5F4800F8" w:rsidR="008F7D2D" w:rsidRDefault="008F7D2D">
          <w:pPr>
            <w:pStyle w:val="TM2"/>
            <w:tabs>
              <w:tab w:val="right" w:leader="dot" w:pos="8779"/>
            </w:tabs>
            <w:rPr>
              <w:rFonts w:eastAsiaTheme="minorEastAsia"/>
              <w:noProof/>
              <w:lang w:eastAsia="fr-FR"/>
            </w:rPr>
          </w:pPr>
          <w:hyperlink w:anchor="_Toc135834147" w:history="1">
            <w:r w:rsidRPr="00904602">
              <w:rPr>
                <w:rStyle w:val="Lienhypertexte"/>
                <w:noProof/>
              </w:rPr>
              <w:t>III.3. Clauses de réexamen</w:t>
            </w:r>
            <w:r>
              <w:rPr>
                <w:noProof/>
                <w:webHidden/>
              </w:rPr>
              <w:tab/>
            </w:r>
            <w:r>
              <w:rPr>
                <w:noProof/>
                <w:webHidden/>
              </w:rPr>
              <w:fldChar w:fldCharType="begin"/>
            </w:r>
            <w:r>
              <w:rPr>
                <w:noProof/>
                <w:webHidden/>
              </w:rPr>
              <w:instrText xml:space="preserve"> PAGEREF _Toc135834147 \h </w:instrText>
            </w:r>
            <w:r>
              <w:rPr>
                <w:noProof/>
                <w:webHidden/>
              </w:rPr>
            </w:r>
            <w:r>
              <w:rPr>
                <w:noProof/>
                <w:webHidden/>
              </w:rPr>
              <w:fldChar w:fldCharType="separate"/>
            </w:r>
            <w:r>
              <w:rPr>
                <w:noProof/>
                <w:webHidden/>
              </w:rPr>
              <w:t>7</w:t>
            </w:r>
            <w:r>
              <w:rPr>
                <w:noProof/>
                <w:webHidden/>
              </w:rPr>
              <w:fldChar w:fldCharType="end"/>
            </w:r>
          </w:hyperlink>
        </w:p>
        <w:p w14:paraId="093A8D8C" w14:textId="3383207A" w:rsidR="008F7D2D" w:rsidRDefault="008F7D2D">
          <w:pPr>
            <w:pStyle w:val="TM2"/>
            <w:tabs>
              <w:tab w:val="right" w:leader="dot" w:pos="8779"/>
            </w:tabs>
            <w:rPr>
              <w:rFonts w:eastAsiaTheme="minorEastAsia"/>
              <w:noProof/>
              <w:lang w:eastAsia="fr-FR"/>
            </w:rPr>
          </w:pPr>
          <w:hyperlink w:anchor="_Toc135834148" w:history="1">
            <w:r w:rsidRPr="00904602">
              <w:rPr>
                <w:rStyle w:val="Lienhypertexte"/>
                <w:noProof/>
              </w:rPr>
              <w:t>III.5. Constatation de l’exécution des prestations</w:t>
            </w:r>
            <w:r>
              <w:rPr>
                <w:noProof/>
                <w:webHidden/>
              </w:rPr>
              <w:tab/>
            </w:r>
            <w:r>
              <w:rPr>
                <w:noProof/>
                <w:webHidden/>
              </w:rPr>
              <w:fldChar w:fldCharType="begin"/>
            </w:r>
            <w:r>
              <w:rPr>
                <w:noProof/>
                <w:webHidden/>
              </w:rPr>
              <w:instrText xml:space="preserve"> PAGEREF _Toc135834148 \h </w:instrText>
            </w:r>
            <w:r>
              <w:rPr>
                <w:noProof/>
                <w:webHidden/>
              </w:rPr>
            </w:r>
            <w:r>
              <w:rPr>
                <w:noProof/>
                <w:webHidden/>
              </w:rPr>
              <w:fldChar w:fldCharType="separate"/>
            </w:r>
            <w:r>
              <w:rPr>
                <w:noProof/>
                <w:webHidden/>
              </w:rPr>
              <w:t>7</w:t>
            </w:r>
            <w:r>
              <w:rPr>
                <w:noProof/>
                <w:webHidden/>
              </w:rPr>
              <w:fldChar w:fldCharType="end"/>
            </w:r>
          </w:hyperlink>
        </w:p>
        <w:p w14:paraId="2654FB0B" w14:textId="4A4012DE" w:rsidR="008F7D2D" w:rsidRDefault="008F7D2D">
          <w:pPr>
            <w:pStyle w:val="TM1"/>
            <w:tabs>
              <w:tab w:val="right" w:leader="dot" w:pos="8779"/>
            </w:tabs>
            <w:rPr>
              <w:rFonts w:eastAsiaTheme="minorEastAsia"/>
              <w:noProof/>
              <w:lang w:eastAsia="fr-FR"/>
            </w:rPr>
          </w:pPr>
          <w:hyperlink w:anchor="_Toc135834149" w:history="1">
            <w:r w:rsidRPr="00904602">
              <w:rPr>
                <w:rStyle w:val="Lienhypertexte"/>
                <w:noProof/>
              </w:rPr>
              <w:t>IV. RESILIATION</w:t>
            </w:r>
            <w:r>
              <w:rPr>
                <w:noProof/>
                <w:webHidden/>
              </w:rPr>
              <w:tab/>
            </w:r>
            <w:r>
              <w:rPr>
                <w:noProof/>
                <w:webHidden/>
              </w:rPr>
              <w:fldChar w:fldCharType="begin"/>
            </w:r>
            <w:r>
              <w:rPr>
                <w:noProof/>
                <w:webHidden/>
              </w:rPr>
              <w:instrText xml:space="preserve"> PAGEREF _Toc135834149 \h </w:instrText>
            </w:r>
            <w:r>
              <w:rPr>
                <w:noProof/>
                <w:webHidden/>
              </w:rPr>
            </w:r>
            <w:r>
              <w:rPr>
                <w:noProof/>
                <w:webHidden/>
              </w:rPr>
              <w:fldChar w:fldCharType="separate"/>
            </w:r>
            <w:r>
              <w:rPr>
                <w:noProof/>
                <w:webHidden/>
              </w:rPr>
              <w:t>8</w:t>
            </w:r>
            <w:r>
              <w:rPr>
                <w:noProof/>
                <w:webHidden/>
              </w:rPr>
              <w:fldChar w:fldCharType="end"/>
            </w:r>
          </w:hyperlink>
        </w:p>
        <w:p w14:paraId="2B6A2F7A" w14:textId="58787527" w:rsidR="004D47D0" w:rsidRDefault="004D47D0" w:rsidP="007D0F51">
          <w:pPr>
            <w:jc w:val="both"/>
          </w:pPr>
          <w:r>
            <w:rPr>
              <w:b/>
              <w:bCs/>
            </w:rPr>
            <w:fldChar w:fldCharType="end"/>
          </w:r>
        </w:p>
      </w:sdtContent>
    </w:sdt>
    <w:p w14:paraId="23AC2294" w14:textId="77777777" w:rsidR="004D47D0" w:rsidRDefault="004D47D0" w:rsidP="007D0F51">
      <w:pPr>
        <w:jc w:val="both"/>
      </w:pPr>
    </w:p>
    <w:p w14:paraId="1DB757A4" w14:textId="77777777" w:rsidR="004D47D0" w:rsidRDefault="004D47D0" w:rsidP="007D0F51">
      <w:pPr>
        <w:jc w:val="both"/>
      </w:pPr>
      <w:r>
        <w:br w:type="page"/>
      </w:r>
    </w:p>
    <w:p w14:paraId="1DA9FA2F" w14:textId="1482E8A1" w:rsidR="004D47D0" w:rsidRPr="00B378EA" w:rsidRDefault="00456BB4" w:rsidP="00B378EA">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0" w:name="_Hlk91667151"/>
      <w:bookmarkStart w:id="1" w:name="_Toc135834128"/>
      <w:r w:rsidRPr="00B378EA">
        <w:rPr>
          <w:rFonts w:asciiTheme="minorHAnsi" w:hAnsiTheme="minorHAnsi"/>
        </w:rPr>
        <w:lastRenderedPageBreak/>
        <w:t>I</w:t>
      </w:r>
      <w:r w:rsidR="000F3D44">
        <w:rPr>
          <w:rFonts w:asciiTheme="minorHAnsi" w:hAnsiTheme="minorHAnsi"/>
        </w:rPr>
        <w:t>.</w:t>
      </w:r>
      <w:r w:rsidRPr="00B378EA">
        <w:rPr>
          <w:rFonts w:asciiTheme="minorHAnsi" w:hAnsiTheme="minorHAnsi"/>
        </w:rPr>
        <w:t xml:space="preserve"> </w:t>
      </w:r>
      <w:r w:rsidR="00E65400">
        <w:rPr>
          <w:rFonts w:asciiTheme="minorHAnsi" w:hAnsiTheme="minorHAnsi"/>
        </w:rPr>
        <w:t>GENERALITES</w:t>
      </w:r>
      <w:bookmarkEnd w:id="1"/>
    </w:p>
    <w:p w14:paraId="1CEF9B1E" w14:textId="77777777" w:rsidR="004D47D0" w:rsidRDefault="004D47D0" w:rsidP="007D0F51">
      <w:pPr>
        <w:spacing w:after="0" w:line="240" w:lineRule="auto"/>
        <w:jc w:val="both"/>
      </w:pPr>
    </w:p>
    <w:p w14:paraId="36A5FF8C" w14:textId="7D2312AB" w:rsidR="00E65400" w:rsidRDefault="00E65400" w:rsidP="00E65400">
      <w:pPr>
        <w:pStyle w:val="Titre2"/>
      </w:pPr>
      <w:bookmarkStart w:id="2" w:name="_Toc135834129"/>
      <w:r>
        <w:t>I.1</w:t>
      </w:r>
      <w:r w:rsidR="000F3D44">
        <w:t>.</w:t>
      </w:r>
      <w:r>
        <w:t xml:space="preserve"> Objet du marché public</w:t>
      </w:r>
      <w:bookmarkEnd w:id="2"/>
    </w:p>
    <w:p w14:paraId="19495ED3" w14:textId="77777777" w:rsidR="00E65400" w:rsidRDefault="00E65400" w:rsidP="00E65400">
      <w:pPr>
        <w:spacing w:after="0"/>
        <w:jc w:val="both"/>
        <w:rPr>
          <w:rFonts w:asciiTheme="majorHAnsi" w:hAnsiTheme="majorHAnsi" w:cstheme="majorHAnsi"/>
        </w:rPr>
      </w:pPr>
    </w:p>
    <w:p w14:paraId="1D7D4865" w14:textId="22106E3B" w:rsidR="001702E2" w:rsidRDefault="001702E2" w:rsidP="001702E2">
      <w:pPr>
        <w:jc w:val="both"/>
      </w:pPr>
      <w:bookmarkStart w:id="3" w:name="_Hlk92203188"/>
      <w:r>
        <w:t xml:space="preserve">Assistance à maîtrise d’ouvrage - </w:t>
      </w:r>
      <w:r w:rsidR="00923CC4">
        <w:t>Construction d’un nouvel équipement polyvalent</w:t>
      </w:r>
    </w:p>
    <w:p w14:paraId="3127127E" w14:textId="7C7816D6" w:rsidR="00E65400" w:rsidRDefault="00E65400" w:rsidP="00D443BD">
      <w:pPr>
        <w:pStyle w:val="Titre2"/>
        <w:spacing w:line="240" w:lineRule="auto"/>
      </w:pPr>
      <w:bookmarkStart w:id="4" w:name="_Hlk91666708"/>
      <w:bookmarkStart w:id="5" w:name="_Toc135834130"/>
      <w:bookmarkEnd w:id="0"/>
      <w:bookmarkEnd w:id="3"/>
      <w:r>
        <w:t>I.</w:t>
      </w:r>
      <w:r w:rsidR="00DE788C">
        <w:t>2</w:t>
      </w:r>
      <w:r w:rsidR="000F3D44">
        <w:t>.</w:t>
      </w:r>
      <w:r>
        <w:t xml:space="preserve"> Obligations générales des parties</w:t>
      </w:r>
      <w:bookmarkEnd w:id="5"/>
    </w:p>
    <w:p w14:paraId="42FD2D1C" w14:textId="77777777" w:rsidR="00E65400" w:rsidRDefault="00E65400" w:rsidP="00D443BD">
      <w:pPr>
        <w:spacing w:after="0" w:line="240" w:lineRule="auto"/>
        <w:jc w:val="both"/>
      </w:pPr>
    </w:p>
    <w:p w14:paraId="096ECD5E" w14:textId="747E6C9C" w:rsidR="00E65400" w:rsidRPr="000D7245" w:rsidRDefault="00E65400" w:rsidP="00D443BD">
      <w:pPr>
        <w:pStyle w:val="Titre3"/>
        <w:spacing w:line="240" w:lineRule="auto"/>
        <w:ind w:left="709"/>
        <w:jc w:val="both"/>
        <w:rPr>
          <w:color w:val="2E74B5" w:themeColor="accent1" w:themeShade="BF"/>
        </w:rPr>
      </w:pPr>
      <w:bookmarkStart w:id="6" w:name="_Toc135834131"/>
      <w:r>
        <w:rPr>
          <w:color w:val="2E74B5" w:themeColor="accent1" w:themeShade="BF"/>
        </w:rPr>
        <w:t>I.</w:t>
      </w:r>
      <w:r w:rsidR="00DE788C">
        <w:rPr>
          <w:color w:val="2E74B5" w:themeColor="accent1" w:themeShade="BF"/>
        </w:rPr>
        <w:t>2</w:t>
      </w:r>
      <w:r w:rsidR="00D443BD">
        <w:rPr>
          <w:color w:val="2E74B5" w:themeColor="accent1" w:themeShade="BF"/>
        </w:rPr>
        <w:t>.</w:t>
      </w:r>
      <w:r>
        <w:rPr>
          <w:color w:val="2E74B5" w:themeColor="accent1" w:themeShade="BF"/>
        </w:rPr>
        <w:t xml:space="preserve">1. </w:t>
      </w:r>
      <w:r w:rsidR="00D443BD">
        <w:rPr>
          <w:color w:val="2E74B5" w:themeColor="accent1" w:themeShade="BF"/>
        </w:rPr>
        <w:t>Conduite des prestations par une personne nommément désignée</w:t>
      </w:r>
      <w:bookmarkEnd w:id="6"/>
    </w:p>
    <w:p w14:paraId="7AC93535" w14:textId="77777777" w:rsidR="00E65400" w:rsidRDefault="00E65400" w:rsidP="00AF30BA">
      <w:pPr>
        <w:spacing w:after="0" w:line="240" w:lineRule="auto"/>
        <w:jc w:val="both"/>
      </w:pPr>
    </w:p>
    <w:p w14:paraId="3547C7D7" w14:textId="2D60D8AD" w:rsidR="005E090D" w:rsidRDefault="00D443BD" w:rsidP="00AF30BA">
      <w:pPr>
        <w:spacing w:after="0" w:line="240" w:lineRule="auto"/>
        <w:jc w:val="both"/>
        <w:rPr>
          <w:rFonts w:asciiTheme="majorHAnsi" w:hAnsiTheme="majorHAnsi" w:cstheme="majorHAnsi"/>
        </w:rPr>
      </w:pPr>
      <w:r w:rsidRPr="00D443BD">
        <w:rPr>
          <w:rFonts w:asciiTheme="majorHAnsi" w:hAnsiTheme="majorHAnsi" w:cstheme="majorHAnsi"/>
          <w:b/>
          <w:bCs/>
        </w:rPr>
        <w:t>Obligation d’information</w:t>
      </w:r>
      <w:r w:rsidRPr="00D443BD">
        <w:rPr>
          <w:rFonts w:asciiTheme="majorHAnsi" w:hAnsiTheme="majorHAnsi" w:cstheme="majorHAnsi"/>
        </w:rPr>
        <w:t xml:space="preserve">. </w:t>
      </w:r>
      <w:r w:rsidR="005E090D">
        <w:rPr>
          <w:rFonts w:asciiTheme="majorHAnsi" w:hAnsiTheme="majorHAnsi" w:cstheme="majorHAnsi"/>
        </w:rPr>
        <w:t>L’intégralité des</w:t>
      </w:r>
      <w:r w:rsidRPr="00D443BD">
        <w:rPr>
          <w:rFonts w:asciiTheme="majorHAnsi" w:hAnsiTheme="majorHAnsi" w:cstheme="majorHAnsi"/>
        </w:rPr>
        <w:t xml:space="preserve"> prestations doit être exécutée par une personne nommément désignée</w:t>
      </w:r>
      <w:r w:rsidR="005E090D">
        <w:rPr>
          <w:rFonts w:asciiTheme="majorHAnsi" w:hAnsiTheme="majorHAnsi" w:cstheme="majorHAnsi"/>
        </w:rPr>
        <w:t xml:space="preserve"> au </w:t>
      </w:r>
      <w:r w:rsidR="009556A4">
        <w:rPr>
          <w:rFonts w:asciiTheme="majorHAnsi" w:hAnsiTheme="majorHAnsi" w:cstheme="majorHAnsi"/>
        </w:rPr>
        <w:t>marché</w:t>
      </w:r>
      <w:r w:rsidR="005E090D">
        <w:rPr>
          <w:rFonts w:asciiTheme="majorHAnsi" w:hAnsiTheme="majorHAnsi" w:cstheme="majorHAnsi"/>
        </w:rPr>
        <w:t>.</w:t>
      </w:r>
    </w:p>
    <w:p w14:paraId="698C3749" w14:textId="796B3586" w:rsidR="00D443BD" w:rsidRPr="00D443BD" w:rsidRDefault="005E090D" w:rsidP="00AF30BA">
      <w:pPr>
        <w:spacing w:after="0" w:line="240" w:lineRule="auto"/>
        <w:jc w:val="both"/>
        <w:rPr>
          <w:rFonts w:asciiTheme="majorHAnsi" w:hAnsiTheme="majorHAnsi" w:cstheme="majorHAnsi"/>
        </w:rPr>
      </w:pPr>
      <w:r>
        <w:rPr>
          <w:rFonts w:asciiTheme="majorHAnsi" w:hAnsiTheme="majorHAnsi" w:cstheme="majorHAnsi"/>
        </w:rPr>
        <w:t>Si</w:t>
      </w:r>
      <w:r w:rsidR="00D443BD" w:rsidRPr="00D443BD">
        <w:rPr>
          <w:rFonts w:asciiTheme="majorHAnsi" w:hAnsiTheme="majorHAnsi" w:cstheme="majorHAnsi"/>
        </w:rPr>
        <w:t xml:space="preserve"> cette personne n’est plus en mesure </w:t>
      </w:r>
      <w:bookmarkEnd w:id="4"/>
      <w:r w:rsidR="00D443BD" w:rsidRPr="00D443BD">
        <w:rPr>
          <w:rFonts w:asciiTheme="majorHAnsi" w:hAnsiTheme="majorHAnsi" w:cstheme="majorHAnsi"/>
        </w:rPr>
        <w:t>d’accomplir cette tâche, le titulaire doit :</w:t>
      </w:r>
    </w:p>
    <w:p w14:paraId="69083999" w14:textId="681647A1" w:rsidR="00D443BD" w:rsidRPr="00D443BD" w:rsidRDefault="00D443BD" w:rsidP="00AF30BA">
      <w:pPr>
        <w:pStyle w:val="Paragraphedeliste"/>
        <w:numPr>
          <w:ilvl w:val="0"/>
          <w:numId w:val="11"/>
        </w:numPr>
        <w:spacing w:line="240" w:lineRule="auto"/>
        <w:jc w:val="both"/>
        <w:rPr>
          <w:rFonts w:asciiTheme="majorHAnsi" w:hAnsiTheme="majorHAnsi" w:cstheme="majorHAnsi"/>
        </w:rPr>
      </w:pPr>
      <w:r w:rsidRPr="00D443BD">
        <w:rPr>
          <w:rFonts w:asciiTheme="majorHAnsi" w:hAnsiTheme="majorHAnsi" w:cstheme="majorHAnsi"/>
          <w:b/>
          <w:bCs/>
        </w:rPr>
        <w:t>en informer sans délai l’acheteur</w:t>
      </w:r>
      <w:r w:rsidRPr="00D443BD">
        <w:rPr>
          <w:rFonts w:asciiTheme="majorHAnsi" w:hAnsiTheme="majorHAnsi" w:cstheme="majorHAnsi"/>
        </w:rPr>
        <w:t xml:space="preserve"> et prendre toutes dispositions nécessaires afin d’assurer la poursuite de l’exécution des prestations ;</w:t>
      </w:r>
    </w:p>
    <w:p w14:paraId="7B969478" w14:textId="2DA1F8C5" w:rsidR="00D443BD" w:rsidRPr="00D443BD" w:rsidRDefault="00D443BD" w:rsidP="00AF30BA">
      <w:pPr>
        <w:pStyle w:val="Paragraphedeliste"/>
        <w:numPr>
          <w:ilvl w:val="0"/>
          <w:numId w:val="11"/>
        </w:numPr>
        <w:spacing w:line="240" w:lineRule="auto"/>
        <w:jc w:val="both"/>
        <w:rPr>
          <w:rFonts w:asciiTheme="majorHAnsi" w:hAnsiTheme="majorHAnsi" w:cstheme="majorHAnsi"/>
        </w:rPr>
      </w:pPr>
      <w:r w:rsidRPr="00D443BD">
        <w:rPr>
          <w:rFonts w:asciiTheme="majorHAnsi" w:hAnsiTheme="majorHAnsi" w:cstheme="majorHAnsi"/>
          <w:b/>
          <w:bCs/>
        </w:rPr>
        <w:t>proposer à l’acheteur un remplaçant disposant de compétences au moins équivalentes</w:t>
      </w:r>
      <w:r w:rsidRPr="00D443BD">
        <w:rPr>
          <w:rFonts w:asciiTheme="majorHAnsi" w:hAnsiTheme="majorHAnsi" w:cstheme="majorHAnsi"/>
        </w:rPr>
        <w:t xml:space="preserve"> et dont il lui communique le nom et le curriculum vitae dans un </w:t>
      </w:r>
      <w:r w:rsidRPr="000F5539">
        <w:rPr>
          <w:rFonts w:asciiTheme="majorHAnsi" w:hAnsiTheme="majorHAnsi" w:cstheme="majorHAnsi"/>
        </w:rPr>
        <w:t xml:space="preserve">délai de </w:t>
      </w:r>
      <w:r w:rsidR="005E090D" w:rsidRPr="005E090D">
        <w:rPr>
          <w:rFonts w:asciiTheme="majorHAnsi" w:hAnsiTheme="majorHAnsi" w:cstheme="majorHAnsi"/>
          <w:b/>
        </w:rPr>
        <w:t>30</w:t>
      </w:r>
      <w:r w:rsidRPr="005E090D">
        <w:rPr>
          <w:rFonts w:asciiTheme="majorHAnsi" w:hAnsiTheme="majorHAnsi" w:cstheme="majorHAnsi"/>
          <w:b/>
        </w:rPr>
        <w:t xml:space="preserve"> jours</w:t>
      </w:r>
      <w:r w:rsidRPr="000F5539">
        <w:rPr>
          <w:rFonts w:asciiTheme="majorHAnsi" w:hAnsiTheme="majorHAnsi" w:cstheme="majorHAnsi"/>
        </w:rPr>
        <w:t xml:space="preserve"> à compter</w:t>
      </w:r>
      <w:r w:rsidR="008F7D2D">
        <w:rPr>
          <w:rFonts w:asciiTheme="majorHAnsi" w:hAnsiTheme="majorHAnsi" w:cstheme="majorHAnsi"/>
        </w:rPr>
        <w:t xml:space="preserve"> de la date d’envoi de l’information susmentionnée.</w:t>
      </w:r>
    </w:p>
    <w:p w14:paraId="2FB6C0A6" w14:textId="64D8F451" w:rsidR="00D443BD" w:rsidRPr="000F5539" w:rsidRDefault="00D443BD" w:rsidP="00AF30BA">
      <w:pPr>
        <w:spacing w:line="240" w:lineRule="auto"/>
        <w:jc w:val="both"/>
        <w:rPr>
          <w:rFonts w:asciiTheme="majorHAnsi" w:hAnsiTheme="majorHAnsi" w:cstheme="majorHAnsi"/>
        </w:rPr>
      </w:pPr>
      <w:r w:rsidRPr="00D443BD">
        <w:rPr>
          <w:rFonts w:asciiTheme="majorHAnsi" w:hAnsiTheme="majorHAnsi" w:cstheme="majorHAnsi"/>
          <w:b/>
          <w:bCs/>
        </w:rPr>
        <w:t>Absence de récusation</w:t>
      </w:r>
      <w:r w:rsidRPr="00D443BD">
        <w:rPr>
          <w:rFonts w:asciiTheme="majorHAnsi" w:hAnsiTheme="majorHAnsi" w:cstheme="majorHAnsi"/>
        </w:rPr>
        <w:t xml:space="preserve">. Le remplaçant proposé par le titulaire est considéré comme accepté par l’acheteur, si celui-ci ne le récuse pas dans le </w:t>
      </w:r>
      <w:r w:rsidRPr="000F5539">
        <w:rPr>
          <w:rFonts w:asciiTheme="majorHAnsi" w:hAnsiTheme="majorHAnsi" w:cstheme="majorHAnsi"/>
        </w:rPr>
        <w:t xml:space="preserve">délai de </w:t>
      </w:r>
      <w:r w:rsidR="005E090D" w:rsidRPr="005E090D">
        <w:rPr>
          <w:rFonts w:asciiTheme="majorHAnsi" w:hAnsiTheme="majorHAnsi" w:cstheme="majorHAnsi"/>
          <w:b/>
        </w:rPr>
        <w:t>30</w:t>
      </w:r>
      <w:r w:rsidRPr="005E090D">
        <w:rPr>
          <w:rFonts w:asciiTheme="majorHAnsi" w:hAnsiTheme="majorHAnsi" w:cstheme="majorHAnsi"/>
          <w:b/>
        </w:rPr>
        <w:t xml:space="preserve"> jours</w:t>
      </w:r>
      <w:r w:rsidRPr="000F5539">
        <w:rPr>
          <w:rFonts w:asciiTheme="majorHAnsi" w:hAnsiTheme="majorHAnsi" w:cstheme="majorHAnsi"/>
        </w:rPr>
        <w:t xml:space="preserve"> courant à compter de la réception de la communication mentionnée à l’alinéa précédent. </w:t>
      </w:r>
    </w:p>
    <w:p w14:paraId="33B3CE36" w14:textId="49334AC7" w:rsidR="00D443BD" w:rsidRPr="000F5539" w:rsidRDefault="009556A4" w:rsidP="00AF30BA">
      <w:pPr>
        <w:spacing w:line="240" w:lineRule="auto"/>
        <w:jc w:val="both"/>
        <w:rPr>
          <w:rFonts w:asciiTheme="majorHAnsi" w:hAnsiTheme="majorHAnsi" w:cstheme="majorHAnsi"/>
        </w:rPr>
      </w:pPr>
      <w:r w:rsidRPr="009556A4">
        <w:rPr>
          <w:rFonts w:asciiTheme="majorHAnsi" w:hAnsiTheme="majorHAnsi" w:cstheme="majorHAnsi"/>
          <w:b/>
        </w:rPr>
        <w:t>Récusation.</w:t>
      </w:r>
      <w:r>
        <w:rPr>
          <w:rFonts w:asciiTheme="majorHAnsi" w:hAnsiTheme="majorHAnsi" w:cstheme="majorHAnsi"/>
        </w:rPr>
        <w:t xml:space="preserve"> </w:t>
      </w:r>
      <w:r w:rsidR="00D443BD" w:rsidRPr="000F5539">
        <w:rPr>
          <w:rFonts w:asciiTheme="majorHAnsi" w:hAnsiTheme="majorHAnsi" w:cstheme="majorHAnsi"/>
        </w:rPr>
        <w:t xml:space="preserve">Si l’acheteur récuse le remplaçant, le titulaire dispose d’un délai de </w:t>
      </w:r>
      <w:r w:rsidR="008F7D2D">
        <w:rPr>
          <w:rFonts w:asciiTheme="majorHAnsi" w:hAnsiTheme="majorHAnsi" w:cstheme="majorHAnsi"/>
          <w:b/>
        </w:rPr>
        <w:t>1</w:t>
      </w:r>
      <w:r w:rsidR="005E090D" w:rsidRPr="005E090D">
        <w:rPr>
          <w:rFonts w:asciiTheme="majorHAnsi" w:hAnsiTheme="majorHAnsi" w:cstheme="majorHAnsi"/>
          <w:b/>
        </w:rPr>
        <w:t>0</w:t>
      </w:r>
      <w:r w:rsidR="00D443BD" w:rsidRPr="005E090D">
        <w:rPr>
          <w:rFonts w:asciiTheme="majorHAnsi" w:hAnsiTheme="majorHAnsi" w:cstheme="majorHAnsi"/>
          <w:b/>
        </w:rPr>
        <w:t xml:space="preserve"> jours</w:t>
      </w:r>
      <w:r w:rsidR="00D443BD" w:rsidRPr="000F5539">
        <w:rPr>
          <w:rFonts w:asciiTheme="majorHAnsi" w:hAnsiTheme="majorHAnsi" w:cstheme="majorHAnsi"/>
        </w:rPr>
        <w:t xml:space="preserve"> pour proposer un autre remplaçant.</w:t>
      </w:r>
    </w:p>
    <w:p w14:paraId="125EB7BF" w14:textId="77777777" w:rsidR="00D443BD" w:rsidRPr="00D443BD" w:rsidRDefault="00D443BD" w:rsidP="00AF30BA">
      <w:pPr>
        <w:spacing w:line="240" w:lineRule="auto"/>
        <w:jc w:val="both"/>
        <w:rPr>
          <w:rFonts w:asciiTheme="majorHAnsi" w:hAnsiTheme="majorHAnsi" w:cstheme="majorHAnsi"/>
        </w:rPr>
      </w:pPr>
      <w:r w:rsidRPr="00D443BD">
        <w:rPr>
          <w:rFonts w:asciiTheme="majorHAnsi" w:hAnsiTheme="majorHAnsi" w:cstheme="majorHAnsi"/>
        </w:rPr>
        <w:t>La décision de récusation prise par l’acheteur est motivée.</w:t>
      </w:r>
    </w:p>
    <w:p w14:paraId="7DC7099A" w14:textId="77777777" w:rsidR="00D443BD" w:rsidRPr="00D443BD" w:rsidRDefault="00D443BD" w:rsidP="00AF30BA">
      <w:pPr>
        <w:spacing w:line="240" w:lineRule="auto"/>
        <w:jc w:val="both"/>
        <w:rPr>
          <w:rFonts w:asciiTheme="majorHAnsi" w:hAnsiTheme="majorHAnsi" w:cstheme="majorHAnsi"/>
        </w:rPr>
      </w:pPr>
      <w:r w:rsidRPr="00D443BD">
        <w:rPr>
          <w:rFonts w:asciiTheme="majorHAnsi" w:hAnsiTheme="majorHAnsi" w:cstheme="majorHAnsi"/>
        </w:rPr>
        <w:t>Les informations, avis, propositions et décisions de l’acheteur sont notifiés selon les modalités fixées à l’article 3.1. du CCAG PI 2021.</w:t>
      </w:r>
    </w:p>
    <w:p w14:paraId="395657E7" w14:textId="51962343" w:rsidR="00D443BD" w:rsidRDefault="00D443BD" w:rsidP="00AF30BA">
      <w:pPr>
        <w:spacing w:after="0" w:line="240" w:lineRule="auto"/>
        <w:jc w:val="both"/>
        <w:rPr>
          <w:rFonts w:asciiTheme="majorHAnsi" w:hAnsiTheme="majorHAnsi" w:cstheme="majorHAnsi"/>
        </w:rPr>
      </w:pPr>
      <w:r w:rsidRPr="00D443BD">
        <w:rPr>
          <w:rFonts w:asciiTheme="majorHAnsi" w:hAnsiTheme="majorHAnsi" w:cstheme="majorHAnsi"/>
        </w:rPr>
        <w:t>À défaut de proposition de remplaçant par le titulaire ou en cas de récusation des remplaçants par l’acheteur, le marché peut être résilié dans les conditions prévues à l’article 39 du CCAG PI 2021.</w:t>
      </w:r>
    </w:p>
    <w:p w14:paraId="07D3962A" w14:textId="77777777" w:rsidR="00AF30BA" w:rsidRDefault="00AF30BA" w:rsidP="00AF30BA">
      <w:pPr>
        <w:spacing w:after="0" w:line="240" w:lineRule="auto"/>
        <w:jc w:val="both"/>
        <w:rPr>
          <w:rFonts w:asciiTheme="majorHAnsi" w:hAnsiTheme="majorHAnsi" w:cstheme="majorHAnsi"/>
        </w:rPr>
      </w:pPr>
    </w:p>
    <w:p w14:paraId="346FE610" w14:textId="3ED4ECD9" w:rsidR="00D443BD" w:rsidRPr="000D7245" w:rsidRDefault="00D443BD" w:rsidP="00AF30BA">
      <w:pPr>
        <w:pStyle w:val="Titre3"/>
        <w:spacing w:line="240" w:lineRule="auto"/>
        <w:ind w:left="709"/>
        <w:jc w:val="both"/>
        <w:rPr>
          <w:color w:val="2E74B5" w:themeColor="accent1" w:themeShade="BF"/>
        </w:rPr>
      </w:pPr>
      <w:bookmarkStart w:id="7" w:name="_Toc135834132"/>
      <w:r>
        <w:rPr>
          <w:color w:val="2E74B5" w:themeColor="accent1" w:themeShade="BF"/>
        </w:rPr>
        <w:t>I.</w:t>
      </w:r>
      <w:r w:rsidR="00DE788C">
        <w:rPr>
          <w:color w:val="2E74B5" w:themeColor="accent1" w:themeShade="BF"/>
        </w:rPr>
        <w:t>2</w:t>
      </w:r>
      <w:r>
        <w:rPr>
          <w:color w:val="2E74B5" w:themeColor="accent1" w:themeShade="BF"/>
        </w:rPr>
        <w:t>.</w:t>
      </w:r>
      <w:r w:rsidR="00AF30BA">
        <w:rPr>
          <w:color w:val="2E74B5" w:themeColor="accent1" w:themeShade="BF"/>
        </w:rPr>
        <w:t>2</w:t>
      </w:r>
      <w:r>
        <w:rPr>
          <w:color w:val="2E74B5" w:themeColor="accent1" w:themeShade="BF"/>
        </w:rPr>
        <w:t xml:space="preserve">. </w:t>
      </w:r>
      <w:r w:rsidR="00AF30BA">
        <w:rPr>
          <w:color w:val="2E74B5" w:themeColor="accent1" w:themeShade="BF"/>
        </w:rPr>
        <w:t>Groupement d’opérateurs économiques</w:t>
      </w:r>
      <w:bookmarkEnd w:id="7"/>
    </w:p>
    <w:p w14:paraId="43D9B261" w14:textId="77777777" w:rsidR="00D443BD" w:rsidRDefault="00D443BD" w:rsidP="00AF30BA">
      <w:pPr>
        <w:spacing w:after="0" w:line="240" w:lineRule="auto"/>
        <w:jc w:val="both"/>
      </w:pPr>
    </w:p>
    <w:p w14:paraId="6A123534" w14:textId="06930792" w:rsidR="00AF30BA" w:rsidRPr="00AF30BA" w:rsidRDefault="00AF30BA" w:rsidP="00AF30BA">
      <w:pPr>
        <w:spacing w:line="240" w:lineRule="auto"/>
        <w:jc w:val="both"/>
        <w:rPr>
          <w:rFonts w:asciiTheme="majorHAnsi" w:hAnsiTheme="majorHAnsi" w:cstheme="majorHAnsi"/>
        </w:rPr>
      </w:pPr>
      <w:r w:rsidRPr="00AF30BA">
        <w:rPr>
          <w:rFonts w:asciiTheme="majorHAnsi" w:hAnsiTheme="majorHAnsi" w:cstheme="majorHAnsi"/>
          <w:b/>
        </w:rPr>
        <w:t>Mandataire</w:t>
      </w:r>
      <w:r w:rsidRPr="00AF30BA">
        <w:rPr>
          <w:rFonts w:asciiTheme="majorHAnsi" w:hAnsiTheme="majorHAnsi" w:cstheme="majorHAnsi"/>
        </w:rPr>
        <w:t>. Le membre du groupement d’opérateurs économiques, désigné dans le marché comme mandataire, représente l’ensemble des membres du groupement, vis-à-vis de l’acheteur, pour l’exécution du marché.</w:t>
      </w:r>
    </w:p>
    <w:p w14:paraId="48E56C27" w14:textId="69F93B2A" w:rsidR="00AF30BA" w:rsidRPr="00AF30BA" w:rsidRDefault="00AF30BA" w:rsidP="000F5539">
      <w:pPr>
        <w:spacing w:after="120" w:line="240" w:lineRule="auto"/>
        <w:jc w:val="both"/>
        <w:rPr>
          <w:rFonts w:asciiTheme="majorHAnsi" w:hAnsiTheme="majorHAnsi" w:cstheme="majorHAnsi"/>
        </w:rPr>
      </w:pPr>
      <w:r w:rsidRPr="00AF30BA">
        <w:rPr>
          <w:rFonts w:asciiTheme="majorHAnsi" w:hAnsiTheme="majorHAnsi" w:cstheme="majorHAnsi"/>
          <w:b/>
        </w:rPr>
        <w:t>Groupement conjoint</w:t>
      </w:r>
      <w:r w:rsidR="008771A9">
        <w:rPr>
          <w:rFonts w:asciiTheme="majorHAnsi" w:hAnsiTheme="majorHAnsi" w:cstheme="majorHAnsi"/>
          <w:b/>
        </w:rPr>
        <w:t xml:space="preserve"> avec mandataire solidaire</w:t>
      </w:r>
      <w:r w:rsidRPr="00AF30BA">
        <w:rPr>
          <w:rFonts w:asciiTheme="majorHAnsi" w:hAnsiTheme="majorHAnsi" w:cstheme="majorHAnsi"/>
        </w:rPr>
        <w:t>. En cas de groupement conjoint, le mandataire est</w:t>
      </w:r>
      <w:r w:rsidR="000F5539" w:rsidRPr="008771A9">
        <w:rPr>
          <w:rFonts w:asciiTheme="majorHAnsi" w:hAnsiTheme="majorHAnsi" w:cstheme="majorHAnsi"/>
          <w:b/>
        </w:rPr>
        <w:t xml:space="preserve"> </w:t>
      </w:r>
      <w:r w:rsidRPr="008771A9">
        <w:rPr>
          <w:rFonts w:asciiTheme="majorHAnsi" w:hAnsiTheme="majorHAnsi" w:cstheme="majorHAnsi"/>
          <w:b/>
        </w:rPr>
        <w:t>solidaire</w:t>
      </w:r>
      <w:r w:rsidRPr="00AF30BA">
        <w:rPr>
          <w:rFonts w:asciiTheme="majorHAnsi" w:hAnsiTheme="majorHAnsi" w:cstheme="majorHAnsi"/>
        </w:rPr>
        <w:t xml:space="preserve"> de chacun des autres membres du groupement dans les obligations contractuelles de celui-ci à l’égard de l’acheteur jusqu’à la date à laquelle ses obligations prennent fin. </w:t>
      </w:r>
    </w:p>
    <w:p w14:paraId="6A2CBCDC" w14:textId="77777777" w:rsidR="00AF30BA" w:rsidRPr="00AF30BA" w:rsidRDefault="00AF30BA" w:rsidP="00AF30BA">
      <w:pPr>
        <w:spacing w:line="240" w:lineRule="auto"/>
        <w:jc w:val="both"/>
        <w:rPr>
          <w:rFonts w:asciiTheme="majorHAnsi" w:hAnsiTheme="majorHAnsi" w:cstheme="majorHAnsi"/>
        </w:rPr>
      </w:pPr>
      <w:r w:rsidRPr="00AF30BA">
        <w:rPr>
          <w:rFonts w:asciiTheme="majorHAnsi" w:hAnsiTheme="majorHAnsi" w:cstheme="majorHAnsi"/>
          <w:b/>
        </w:rPr>
        <w:t>Groupement solidaire</w:t>
      </w:r>
      <w:r w:rsidRPr="00AF30BA">
        <w:rPr>
          <w:rFonts w:asciiTheme="majorHAnsi" w:hAnsiTheme="majorHAnsi" w:cstheme="majorHAnsi"/>
        </w:rPr>
        <w:t>. En cas de groupement solidaire, chacun des membres du groupement est engagé financièrement pour la totalité du marché et doit pallier une éventuelle défaillance des autres membres du groupement.</w:t>
      </w:r>
    </w:p>
    <w:p w14:paraId="7244768A" w14:textId="0705A39D" w:rsidR="00AF30BA" w:rsidRDefault="00AF30BA" w:rsidP="00AF30BA">
      <w:pPr>
        <w:spacing w:after="0" w:line="240" w:lineRule="auto"/>
        <w:jc w:val="both"/>
        <w:rPr>
          <w:rFonts w:asciiTheme="majorHAnsi" w:hAnsiTheme="majorHAnsi" w:cstheme="majorHAnsi"/>
        </w:rPr>
      </w:pPr>
      <w:r w:rsidRPr="00AF30BA">
        <w:rPr>
          <w:rFonts w:asciiTheme="majorHAnsi" w:hAnsiTheme="majorHAnsi" w:cstheme="majorHAnsi"/>
          <w:b/>
        </w:rPr>
        <w:t>Défaillance du mandataire</w:t>
      </w:r>
      <w:r w:rsidRPr="00AF30BA">
        <w:rPr>
          <w:rFonts w:asciiTheme="majorHAnsi" w:hAnsiTheme="majorHAnsi" w:cstheme="majorHAnsi"/>
        </w:rPr>
        <w:t xml:space="preserve">. En cas de défaillance du mandataire du groupement, les membres du groupement sont tenus de lui désigner un remplaçant. À défaut, et à l’issue d’un délai de </w:t>
      </w:r>
      <w:r w:rsidR="008771A9" w:rsidRPr="008771A9">
        <w:rPr>
          <w:rFonts w:asciiTheme="majorHAnsi" w:hAnsiTheme="majorHAnsi" w:cstheme="majorHAnsi"/>
          <w:b/>
        </w:rPr>
        <w:t>8</w:t>
      </w:r>
      <w:r w:rsidRPr="008771A9">
        <w:rPr>
          <w:rFonts w:asciiTheme="majorHAnsi" w:hAnsiTheme="majorHAnsi" w:cstheme="majorHAnsi"/>
          <w:b/>
        </w:rPr>
        <w:t xml:space="preserve"> jours</w:t>
      </w:r>
      <w:r w:rsidRPr="00AF30BA">
        <w:rPr>
          <w:rFonts w:asciiTheme="majorHAnsi" w:hAnsiTheme="majorHAnsi" w:cstheme="majorHAnsi"/>
        </w:rPr>
        <w:t xml:space="preserve"> à compter de la notification de la mise en demeure par l’acheteur d’y procéder, le cocontractant exécutant la part financière la plus importante restant à réaliser à la date de cette modification devient le nouveau mandataire du groupement.</w:t>
      </w:r>
    </w:p>
    <w:p w14:paraId="6E0A50DA" w14:textId="6CD946CE" w:rsidR="00AF30BA" w:rsidRDefault="00AF30BA" w:rsidP="00AF30BA">
      <w:pPr>
        <w:spacing w:after="0" w:line="240" w:lineRule="auto"/>
        <w:jc w:val="both"/>
        <w:rPr>
          <w:rFonts w:asciiTheme="majorHAnsi" w:hAnsiTheme="majorHAnsi" w:cstheme="majorHAnsi"/>
        </w:rPr>
      </w:pPr>
    </w:p>
    <w:p w14:paraId="667E350F" w14:textId="12C673C4" w:rsidR="00923CC4" w:rsidRDefault="00923CC4" w:rsidP="00AF30BA">
      <w:pPr>
        <w:spacing w:after="0" w:line="240" w:lineRule="auto"/>
        <w:jc w:val="both"/>
        <w:rPr>
          <w:rFonts w:asciiTheme="majorHAnsi" w:hAnsiTheme="majorHAnsi" w:cstheme="majorHAnsi"/>
        </w:rPr>
      </w:pPr>
    </w:p>
    <w:p w14:paraId="6253EE95" w14:textId="77777777" w:rsidR="00923CC4" w:rsidRPr="00AF30BA" w:rsidRDefault="00923CC4" w:rsidP="00AF30BA">
      <w:pPr>
        <w:spacing w:after="0" w:line="240" w:lineRule="auto"/>
        <w:jc w:val="both"/>
        <w:rPr>
          <w:rFonts w:asciiTheme="majorHAnsi" w:hAnsiTheme="majorHAnsi" w:cstheme="majorHAnsi"/>
        </w:rPr>
      </w:pPr>
    </w:p>
    <w:p w14:paraId="4F25BFCB" w14:textId="52ED9F6C" w:rsidR="00D443BD" w:rsidRPr="000D7245" w:rsidRDefault="00D443BD" w:rsidP="00AF30BA">
      <w:pPr>
        <w:pStyle w:val="Titre3"/>
        <w:spacing w:line="240" w:lineRule="auto"/>
        <w:ind w:left="709"/>
        <w:jc w:val="both"/>
        <w:rPr>
          <w:color w:val="2E74B5" w:themeColor="accent1" w:themeShade="BF"/>
        </w:rPr>
      </w:pPr>
      <w:bookmarkStart w:id="8" w:name="_Toc135834133"/>
      <w:r>
        <w:rPr>
          <w:color w:val="2E74B5" w:themeColor="accent1" w:themeShade="BF"/>
        </w:rPr>
        <w:t>I.</w:t>
      </w:r>
      <w:r w:rsidR="00DE788C">
        <w:rPr>
          <w:color w:val="2E74B5" w:themeColor="accent1" w:themeShade="BF"/>
        </w:rPr>
        <w:t>2</w:t>
      </w:r>
      <w:r>
        <w:rPr>
          <w:color w:val="2E74B5" w:themeColor="accent1" w:themeShade="BF"/>
        </w:rPr>
        <w:t>.</w:t>
      </w:r>
      <w:r w:rsidR="00AF30BA">
        <w:rPr>
          <w:color w:val="2E74B5" w:themeColor="accent1" w:themeShade="BF"/>
        </w:rPr>
        <w:t>3</w:t>
      </w:r>
      <w:r>
        <w:rPr>
          <w:color w:val="2E74B5" w:themeColor="accent1" w:themeShade="BF"/>
        </w:rPr>
        <w:t xml:space="preserve">. </w:t>
      </w:r>
      <w:r w:rsidR="00AF30BA">
        <w:rPr>
          <w:color w:val="2E74B5" w:themeColor="accent1" w:themeShade="BF"/>
        </w:rPr>
        <w:t>Sous-traitance</w:t>
      </w:r>
      <w:bookmarkEnd w:id="8"/>
    </w:p>
    <w:p w14:paraId="763BAE0D" w14:textId="77777777" w:rsidR="00D443BD" w:rsidRDefault="00D443BD" w:rsidP="00AF30BA">
      <w:pPr>
        <w:spacing w:after="0" w:line="240" w:lineRule="auto"/>
        <w:jc w:val="both"/>
      </w:pPr>
    </w:p>
    <w:p w14:paraId="24CC0A8C" w14:textId="36792F50" w:rsidR="00AF30BA" w:rsidRPr="00AF30BA" w:rsidRDefault="00AF30BA" w:rsidP="00AF30BA">
      <w:pPr>
        <w:spacing w:line="240" w:lineRule="auto"/>
        <w:jc w:val="both"/>
        <w:rPr>
          <w:rFonts w:asciiTheme="majorHAnsi" w:hAnsiTheme="majorHAnsi" w:cstheme="majorHAnsi"/>
        </w:rPr>
      </w:pPr>
      <w:r w:rsidRPr="00AF30BA">
        <w:rPr>
          <w:rFonts w:asciiTheme="majorHAnsi" w:hAnsiTheme="majorHAnsi" w:cstheme="majorHAnsi"/>
          <w:b/>
        </w:rPr>
        <w:t>Obligation de déclaration de sous-traitance et agrément des conditions de paiement</w:t>
      </w:r>
      <w:r w:rsidRPr="00AF30BA">
        <w:rPr>
          <w:rFonts w:asciiTheme="majorHAnsi" w:hAnsiTheme="majorHAnsi" w:cstheme="majorHAnsi"/>
        </w:rPr>
        <w:t>. Le titulaire, qui envisage d</w:t>
      </w:r>
      <w:r w:rsidR="008771A9">
        <w:rPr>
          <w:rFonts w:asciiTheme="majorHAnsi" w:hAnsiTheme="majorHAnsi" w:cstheme="majorHAnsi"/>
        </w:rPr>
        <w:t>e</w:t>
      </w:r>
      <w:r w:rsidRPr="00AF30BA">
        <w:rPr>
          <w:rFonts w:asciiTheme="majorHAnsi" w:hAnsiTheme="majorHAnsi" w:cstheme="majorHAnsi"/>
        </w:rPr>
        <w:t xml:space="preserve"> sous-traiter une partie</w:t>
      </w:r>
      <w:r w:rsidR="008771A9">
        <w:rPr>
          <w:rFonts w:asciiTheme="majorHAnsi" w:hAnsiTheme="majorHAnsi" w:cstheme="majorHAnsi"/>
        </w:rPr>
        <w:t xml:space="preserve"> des missions</w:t>
      </w:r>
      <w:r w:rsidRPr="00AF30BA">
        <w:rPr>
          <w:rFonts w:asciiTheme="majorHAnsi" w:hAnsiTheme="majorHAnsi" w:cstheme="majorHAnsi"/>
        </w:rPr>
        <w:t>, demande à l’acheteur d’accepter chaque sous-traitant et d’agréer ses conditions de paiement.</w:t>
      </w:r>
    </w:p>
    <w:p w14:paraId="42BD5A27" w14:textId="77777777" w:rsidR="00AF30BA" w:rsidRPr="00AF30BA" w:rsidRDefault="00AF30BA" w:rsidP="00AF30BA">
      <w:pPr>
        <w:spacing w:line="240" w:lineRule="auto"/>
        <w:jc w:val="both"/>
        <w:rPr>
          <w:rFonts w:asciiTheme="majorHAnsi" w:hAnsiTheme="majorHAnsi" w:cstheme="majorHAnsi"/>
        </w:rPr>
      </w:pPr>
      <w:r w:rsidRPr="00AF30BA">
        <w:rPr>
          <w:rFonts w:asciiTheme="majorHAnsi" w:hAnsiTheme="majorHAnsi" w:cstheme="majorHAnsi"/>
          <w:b/>
        </w:rPr>
        <w:t>Notification de l’acte spécial.</w:t>
      </w:r>
      <w:r w:rsidRPr="00AF30BA">
        <w:rPr>
          <w:rFonts w:asciiTheme="majorHAnsi" w:hAnsiTheme="majorHAnsi" w:cstheme="majorHAnsi"/>
        </w:rPr>
        <w:t xml:space="preserve"> Dès la signature de l’acte spécial constatant l’acceptation du sous-traitant et l’agrément des conditions de paiement, l’acheteur notifie au titulaire et à chacun des sous-traitants concernés l’exemplaire de l’acte spécial qui leur revient. </w:t>
      </w:r>
    </w:p>
    <w:p w14:paraId="106CC660" w14:textId="77777777" w:rsidR="00AF30BA" w:rsidRPr="00AF30BA" w:rsidRDefault="00AF30BA" w:rsidP="00AF30BA">
      <w:pPr>
        <w:spacing w:line="240" w:lineRule="auto"/>
        <w:jc w:val="both"/>
        <w:rPr>
          <w:rFonts w:asciiTheme="majorHAnsi" w:hAnsiTheme="majorHAnsi" w:cstheme="majorHAnsi"/>
        </w:rPr>
      </w:pPr>
      <w:r w:rsidRPr="00AF30BA">
        <w:rPr>
          <w:rFonts w:asciiTheme="majorHAnsi" w:hAnsiTheme="majorHAnsi" w:cstheme="majorHAnsi"/>
          <w:b/>
        </w:rPr>
        <w:t>Représentation du sous-traitant.</w:t>
      </w:r>
      <w:r w:rsidRPr="00AF30BA">
        <w:rPr>
          <w:rFonts w:asciiTheme="majorHAnsi" w:hAnsiTheme="majorHAnsi" w:cstheme="majorHAnsi"/>
        </w:rPr>
        <w:t xml:space="preserve"> Dès réception de cette notification, le titulaire fait connaître à l’acheteur le nom de la personne physique habilitée à représenter le sous-traitant.</w:t>
      </w:r>
    </w:p>
    <w:p w14:paraId="66CAC25D" w14:textId="77777777" w:rsidR="00AF30BA" w:rsidRPr="00AF30BA" w:rsidRDefault="00AF30BA" w:rsidP="00AF30BA">
      <w:pPr>
        <w:spacing w:line="240" w:lineRule="auto"/>
        <w:jc w:val="both"/>
        <w:rPr>
          <w:rFonts w:asciiTheme="majorHAnsi" w:hAnsiTheme="majorHAnsi" w:cstheme="majorHAnsi"/>
        </w:rPr>
      </w:pPr>
      <w:r w:rsidRPr="00AF30BA">
        <w:rPr>
          <w:rFonts w:asciiTheme="majorHAnsi" w:hAnsiTheme="majorHAnsi" w:cstheme="majorHAnsi"/>
          <w:b/>
        </w:rPr>
        <w:t>Communication du sous-traité.</w:t>
      </w:r>
      <w:r w:rsidRPr="00AF30BA">
        <w:rPr>
          <w:rFonts w:asciiTheme="majorHAnsi" w:hAnsiTheme="majorHAnsi" w:cstheme="majorHAnsi"/>
        </w:rPr>
        <w:t xml:space="preserve"> Le titulaire est tenu de communiquer le contrat de sous-traitance et ses éventuels avenants à l’acheteur, lorsque celui-ci en fait la demande. </w:t>
      </w:r>
    </w:p>
    <w:p w14:paraId="17D0A15C" w14:textId="562FA5A3" w:rsidR="00AF30BA" w:rsidRDefault="00AF30BA" w:rsidP="00AF30BA">
      <w:pPr>
        <w:spacing w:after="0" w:line="240" w:lineRule="auto"/>
        <w:jc w:val="both"/>
        <w:rPr>
          <w:rFonts w:asciiTheme="majorHAnsi" w:hAnsiTheme="majorHAnsi" w:cstheme="majorHAnsi"/>
        </w:rPr>
      </w:pPr>
      <w:r w:rsidRPr="00AF30BA">
        <w:rPr>
          <w:rFonts w:asciiTheme="majorHAnsi" w:hAnsiTheme="majorHAnsi" w:cstheme="majorHAnsi"/>
        </w:rPr>
        <w:t xml:space="preserve">À défaut de l’avoir produit à l’échéance d’un délai de </w:t>
      </w:r>
      <w:r w:rsidR="008771A9" w:rsidRPr="008771A9">
        <w:rPr>
          <w:rFonts w:asciiTheme="majorHAnsi" w:hAnsiTheme="majorHAnsi" w:cstheme="majorHAnsi"/>
          <w:b/>
        </w:rPr>
        <w:t>15</w:t>
      </w:r>
      <w:r w:rsidRPr="008771A9">
        <w:rPr>
          <w:rFonts w:asciiTheme="majorHAnsi" w:hAnsiTheme="majorHAnsi" w:cstheme="majorHAnsi"/>
          <w:b/>
        </w:rPr>
        <w:t xml:space="preserve"> jours</w:t>
      </w:r>
      <w:r w:rsidRPr="00AF30BA">
        <w:rPr>
          <w:rFonts w:asciiTheme="majorHAnsi" w:hAnsiTheme="majorHAnsi" w:cstheme="majorHAnsi"/>
        </w:rPr>
        <w:t xml:space="preserve"> courant à compter de la réception d’une mise en demeure de le faire par l’acheteur, le titulaire encourt une pénalité égale à 1/3000</w:t>
      </w:r>
      <w:r w:rsidR="008771A9">
        <w:rPr>
          <w:rFonts w:asciiTheme="majorHAnsi" w:hAnsiTheme="majorHAnsi" w:cstheme="majorHAnsi"/>
        </w:rPr>
        <w:t xml:space="preserve"> </w:t>
      </w:r>
      <w:r w:rsidR="000F5539">
        <w:rPr>
          <w:rFonts w:asciiTheme="majorHAnsi" w:hAnsiTheme="majorHAnsi" w:cstheme="majorHAnsi"/>
        </w:rPr>
        <w:t>ème</w:t>
      </w:r>
      <w:r w:rsidRPr="00AF30BA">
        <w:rPr>
          <w:rFonts w:asciiTheme="majorHAnsi" w:hAnsiTheme="majorHAnsi" w:cstheme="majorHAnsi"/>
        </w:rPr>
        <w:t xml:space="preserve"> du montant hors TVA du marché, éventuellement modifiés. Cette pénalité s’applique pour chaque jour de retard.</w:t>
      </w:r>
    </w:p>
    <w:p w14:paraId="3A98ED95" w14:textId="77777777" w:rsidR="00AF30BA" w:rsidRPr="00AF30BA" w:rsidRDefault="00AF30BA" w:rsidP="00AF30BA">
      <w:pPr>
        <w:spacing w:after="0" w:line="240" w:lineRule="auto"/>
        <w:jc w:val="both"/>
        <w:rPr>
          <w:rFonts w:asciiTheme="majorHAnsi" w:hAnsiTheme="majorHAnsi" w:cstheme="majorHAnsi"/>
        </w:rPr>
      </w:pPr>
    </w:p>
    <w:p w14:paraId="62F52FA5" w14:textId="705121C9" w:rsidR="00AF30BA" w:rsidRPr="000D7245" w:rsidRDefault="00AF30BA" w:rsidP="00AF30BA">
      <w:pPr>
        <w:pStyle w:val="Titre3"/>
        <w:spacing w:line="240" w:lineRule="auto"/>
        <w:ind w:left="709"/>
        <w:jc w:val="both"/>
        <w:rPr>
          <w:color w:val="2E74B5" w:themeColor="accent1" w:themeShade="BF"/>
        </w:rPr>
      </w:pPr>
      <w:bookmarkStart w:id="9" w:name="_Toc135834134"/>
      <w:r>
        <w:rPr>
          <w:color w:val="2E74B5" w:themeColor="accent1" w:themeShade="BF"/>
        </w:rPr>
        <w:t>I.</w:t>
      </w:r>
      <w:r w:rsidR="00DE788C">
        <w:rPr>
          <w:color w:val="2E74B5" w:themeColor="accent1" w:themeShade="BF"/>
        </w:rPr>
        <w:t>2</w:t>
      </w:r>
      <w:r>
        <w:rPr>
          <w:color w:val="2E74B5" w:themeColor="accent1" w:themeShade="BF"/>
        </w:rPr>
        <w:t>.4. Ordres de service</w:t>
      </w:r>
      <w:bookmarkEnd w:id="9"/>
    </w:p>
    <w:p w14:paraId="7331A6DA" w14:textId="77777777" w:rsidR="00AF30BA" w:rsidRDefault="00AF30BA" w:rsidP="00AF30BA">
      <w:pPr>
        <w:spacing w:after="0" w:line="240" w:lineRule="auto"/>
        <w:jc w:val="both"/>
      </w:pPr>
    </w:p>
    <w:p w14:paraId="22C12605" w14:textId="139C0ECB" w:rsidR="00AF30BA" w:rsidRPr="00AF30BA" w:rsidRDefault="00AF30BA" w:rsidP="00AF30BA">
      <w:pPr>
        <w:spacing w:line="240" w:lineRule="auto"/>
        <w:jc w:val="both"/>
        <w:rPr>
          <w:rFonts w:asciiTheme="majorHAnsi" w:hAnsiTheme="majorHAnsi" w:cstheme="majorHAnsi"/>
        </w:rPr>
      </w:pPr>
      <w:r w:rsidRPr="00AF30BA">
        <w:rPr>
          <w:rFonts w:asciiTheme="majorHAnsi" w:hAnsiTheme="majorHAnsi" w:cstheme="majorHAnsi"/>
          <w:b/>
        </w:rPr>
        <w:t>Notification des OS.</w:t>
      </w:r>
      <w:r w:rsidRPr="00AF30BA">
        <w:rPr>
          <w:rFonts w:asciiTheme="majorHAnsi" w:hAnsiTheme="majorHAnsi" w:cstheme="majorHAnsi"/>
        </w:rPr>
        <w:t xml:space="preserve">  Les ordres de service sont notifiés par l’acheteur au titulaire.</w:t>
      </w:r>
    </w:p>
    <w:p w14:paraId="2C28FBC1" w14:textId="0A87EDA5" w:rsidR="00AF30BA" w:rsidRPr="00AF30BA" w:rsidRDefault="00AF30BA" w:rsidP="00AF30BA">
      <w:pPr>
        <w:spacing w:line="240" w:lineRule="auto"/>
        <w:jc w:val="both"/>
        <w:rPr>
          <w:rFonts w:asciiTheme="majorHAnsi" w:hAnsiTheme="majorHAnsi" w:cstheme="majorHAnsi"/>
        </w:rPr>
      </w:pPr>
      <w:r w:rsidRPr="00AF30BA">
        <w:rPr>
          <w:rFonts w:asciiTheme="majorHAnsi" w:hAnsiTheme="majorHAnsi" w:cstheme="majorHAnsi"/>
          <w:b/>
        </w:rPr>
        <w:t>Réserves.</w:t>
      </w:r>
      <w:r w:rsidRPr="00AF30BA">
        <w:rPr>
          <w:rFonts w:asciiTheme="majorHAnsi" w:hAnsiTheme="majorHAnsi" w:cstheme="majorHAnsi"/>
        </w:rPr>
        <w:t xml:space="preserve"> Lorsque le titulaire estime que les prescriptions d’un ordre de service qui lui est notifi</w:t>
      </w:r>
      <w:r w:rsidR="000F5539">
        <w:rPr>
          <w:rFonts w:asciiTheme="majorHAnsi" w:hAnsiTheme="majorHAnsi" w:cstheme="majorHAnsi"/>
        </w:rPr>
        <w:t xml:space="preserve">é </w:t>
      </w:r>
      <w:r w:rsidRPr="00AF30BA">
        <w:rPr>
          <w:rFonts w:asciiTheme="majorHAnsi" w:hAnsiTheme="majorHAnsi" w:cstheme="majorHAnsi"/>
        </w:rPr>
        <w:t xml:space="preserve">appellent des observations de sa part, il doit les notifier à l’acheteur, dans un délai de </w:t>
      </w:r>
      <w:r w:rsidR="00173440" w:rsidRPr="00173440">
        <w:rPr>
          <w:rFonts w:asciiTheme="majorHAnsi" w:hAnsiTheme="majorHAnsi" w:cstheme="majorHAnsi"/>
          <w:b/>
        </w:rPr>
        <w:t>15</w:t>
      </w:r>
      <w:r w:rsidRPr="00173440">
        <w:rPr>
          <w:rFonts w:asciiTheme="majorHAnsi" w:hAnsiTheme="majorHAnsi" w:cstheme="majorHAnsi"/>
          <w:b/>
        </w:rPr>
        <w:t xml:space="preserve"> jours</w:t>
      </w:r>
      <w:r w:rsidRPr="00AF30BA">
        <w:rPr>
          <w:rFonts w:asciiTheme="majorHAnsi" w:hAnsiTheme="majorHAnsi" w:cstheme="majorHAnsi"/>
        </w:rPr>
        <w:t xml:space="preserve"> à compter de la date de réception de l’ordre de service, sous peine de forclusion.</w:t>
      </w:r>
    </w:p>
    <w:p w14:paraId="5C914369" w14:textId="56363AA8" w:rsidR="00AF30BA" w:rsidRDefault="00AF30BA" w:rsidP="00AF30BA">
      <w:pPr>
        <w:spacing w:after="0" w:line="240" w:lineRule="auto"/>
        <w:jc w:val="both"/>
        <w:rPr>
          <w:rFonts w:asciiTheme="majorHAnsi" w:hAnsiTheme="majorHAnsi" w:cstheme="majorHAnsi"/>
        </w:rPr>
      </w:pPr>
      <w:r w:rsidRPr="00AF30BA">
        <w:rPr>
          <w:rFonts w:asciiTheme="majorHAnsi" w:hAnsiTheme="majorHAnsi" w:cstheme="majorHAnsi"/>
          <w:b/>
        </w:rPr>
        <w:t>Obligation d’exécution</w:t>
      </w:r>
      <w:r w:rsidRPr="00AF30BA">
        <w:rPr>
          <w:rFonts w:asciiTheme="majorHAnsi" w:hAnsiTheme="majorHAnsi" w:cstheme="majorHAnsi"/>
        </w:rPr>
        <w:t>. Le titulaire se conforme aux ordres de service qui lui sont notifiés, que ceux-ci aient ou non fait l’objet d’observations de sa part.</w:t>
      </w:r>
    </w:p>
    <w:p w14:paraId="7F48567D" w14:textId="77777777" w:rsidR="00AF30BA" w:rsidRPr="00AF30BA" w:rsidRDefault="00AF30BA" w:rsidP="00AF30BA">
      <w:pPr>
        <w:spacing w:after="0" w:line="240" w:lineRule="auto"/>
        <w:jc w:val="both"/>
        <w:rPr>
          <w:rFonts w:asciiTheme="majorHAnsi" w:hAnsiTheme="majorHAnsi" w:cstheme="majorHAnsi"/>
        </w:rPr>
      </w:pPr>
    </w:p>
    <w:p w14:paraId="2374F208" w14:textId="147DB304" w:rsidR="00AF30BA" w:rsidRDefault="00AF30BA" w:rsidP="00AF30BA">
      <w:pPr>
        <w:pStyle w:val="Titre2"/>
        <w:spacing w:line="240" w:lineRule="auto"/>
      </w:pPr>
      <w:bookmarkStart w:id="10" w:name="_Toc135834135"/>
      <w:r>
        <w:t>I.</w:t>
      </w:r>
      <w:r w:rsidR="00DE788C">
        <w:t>3</w:t>
      </w:r>
      <w:r w:rsidR="000F3D44">
        <w:t>.</w:t>
      </w:r>
      <w:r>
        <w:t xml:space="preserve"> Pièces contractuelles</w:t>
      </w:r>
      <w:bookmarkEnd w:id="10"/>
    </w:p>
    <w:p w14:paraId="5875E523" w14:textId="77777777" w:rsidR="00AF30BA" w:rsidRDefault="00AF30BA" w:rsidP="00AF30BA">
      <w:pPr>
        <w:spacing w:after="0" w:line="240" w:lineRule="auto"/>
        <w:jc w:val="both"/>
      </w:pPr>
    </w:p>
    <w:p w14:paraId="3DE44D73" w14:textId="5A5C152A" w:rsidR="00AF30BA" w:rsidRPr="000D7245" w:rsidRDefault="00AF30BA" w:rsidP="00AF30BA">
      <w:pPr>
        <w:pStyle w:val="Titre3"/>
        <w:spacing w:line="240" w:lineRule="auto"/>
        <w:ind w:left="709"/>
        <w:jc w:val="both"/>
        <w:rPr>
          <w:color w:val="2E74B5" w:themeColor="accent1" w:themeShade="BF"/>
        </w:rPr>
      </w:pPr>
      <w:bookmarkStart w:id="11" w:name="_Hlk91667413"/>
      <w:bookmarkStart w:id="12" w:name="_Toc135834136"/>
      <w:r>
        <w:rPr>
          <w:color w:val="2E74B5" w:themeColor="accent1" w:themeShade="BF"/>
        </w:rPr>
        <w:t>I.</w:t>
      </w:r>
      <w:r w:rsidR="00DE788C">
        <w:rPr>
          <w:color w:val="2E74B5" w:themeColor="accent1" w:themeShade="BF"/>
        </w:rPr>
        <w:t>3</w:t>
      </w:r>
      <w:r>
        <w:rPr>
          <w:color w:val="2E74B5" w:themeColor="accent1" w:themeShade="BF"/>
        </w:rPr>
        <w:t xml:space="preserve">.1. </w:t>
      </w:r>
      <w:r w:rsidR="00D66D0E">
        <w:rPr>
          <w:color w:val="2E74B5" w:themeColor="accent1" w:themeShade="BF"/>
        </w:rPr>
        <w:t>CCAG PI 2021</w:t>
      </w:r>
      <w:bookmarkEnd w:id="12"/>
    </w:p>
    <w:p w14:paraId="7A7C1788" w14:textId="77777777" w:rsidR="00AF30BA" w:rsidRDefault="00AF30BA" w:rsidP="00AF30BA">
      <w:pPr>
        <w:spacing w:after="0" w:line="240" w:lineRule="auto"/>
        <w:jc w:val="both"/>
      </w:pPr>
    </w:p>
    <w:p w14:paraId="2EA0D180" w14:textId="6C2EA7ED" w:rsidR="00D66D0E" w:rsidRPr="00D66D0E" w:rsidRDefault="00D66D0E" w:rsidP="00D66D0E">
      <w:pPr>
        <w:spacing w:line="240" w:lineRule="auto"/>
        <w:jc w:val="both"/>
        <w:rPr>
          <w:rFonts w:asciiTheme="majorHAnsi" w:hAnsiTheme="majorHAnsi" w:cstheme="majorHAnsi"/>
        </w:rPr>
      </w:pPr>
      <w:r w:rsidRPr="00D66D0E">
        <w:rPr>
          <w:rFonts w:asciiTheme="majorHAnsi" w:hAnsiTheme="majorHAnsi" w:cstheme="majorHAnsi"/>
        </w:rPr>
        <w:t>Ce CCAP reprend les dispositions du CCAG Prestations Intellectuelles 2021 qu’il complète, modifie ou déroge.</w:t>
      </w:r>
      <w:r w:rsidR="000F5539">
        <w:rPr>
          <w:rFonts w:asciiTheme="majorHAnsi" w:hAnsiTheme="majorHAnsi" w:cstheme="majorHAnsi"/>
        </w:rPr>
        <w:t xml:space="preserve"> </w:t>
      </w:r>
      <w:bookmarkEnd w:id="11"/>
      <w:r w:rsidRPr="00D66D0E">
        <w:rPr>
          <w:rFonts w:asciiTheme="majorHAnsi" w:hAnsiTheme="majorHAnsi" w:cstheme="majorHAnsi"/>
        </w:rPr>
        <w:t>Il convient donc au titulaire de prendre connaissance de ces dispositions générales qui s’appliquent à lui.</w:t>
      </w:r>
    </w:p>
    <w:p w14:paraId="7802EFE0" w14:textId="77777777" w:rsidR="00D66D0E" w:rsidRPr="00D66D0E" w:rsidRDefault="00D66D0E" w:rsidP="000F5539">
      <w:pPr>
        <w:spacing w:after="0" w:line="240" w:lineRule="auto"/>
        <w:jc w:val="both"/>
        <w:rPr>
          <w:rFonts w:asciiTheme="majorHAnsi" w:hAnsiTheme="majorHAnsi" w:cstheme="majorHAnsi"/>
        </w:rPr>
      </w:pPr>
      <w:r w:rsidRPr="00D66D0E">
        <w:rPr>
          <w:rFonts w:asciiTheme="majorHAnsi" w:hAnsiTheme="majorHAnsi" w:cstheme="majorHAnsi"/>
        </w:rPr>
        <w:t>Le CCAG PI 2021 est librement et gratuitement consultable sur le site Légifrance :</w:t>
      </w:r>
    </w:p>
    <w:p w14:paraId="1976FD8C" w14:textId="2CB70EB3" w:rsidR="00D66D0E" w:rsidRDefault="00DE0AC5" w:rsidP="00D66D0E">
      <w:pPr>
        <w:spacing w:after="0" w:line="240" w:lineRule="auto"/>
        <w:jc w:val="both"/>
        <w:rPr>
          <w:rFonts w:asciiTheme="majorHAnsi" w:hAnsiTheme="majorHAnsi" w:cstheme="majorHAnsi"/>
        </w:rPr>
      </w:pPr>
      <w:hyperlink r:id="rId9" w:history="1">
        <w:r w:rsidR="00D66D0E" w:rsidRPr="00D66D0E">
          <w:rPr>
            <w:rStyle w:val="Lienhypertexte"/>
            <w:rFonts w:asciiTheme="majorHAnsi" w:hAnsiTheme="majorHAnsi" w:cstheme="majorHAnsi"/>
          </w:rPr>
          <w:t>https://www.legifrance.gouv.fr/jorf/id/JORFTEXT000043310613</w:t>
        </w:r>
      </w:hyperlink>
    </w:p>
    <w:p w14:paraId="05BBAC64" w14:textId="77777777" w:rsidR="00D66D0E" w:rsidRPr="00D66D0E" w:rsidRDefault="00D66D0E" w:rsidP="00D66D0E">
      <w:pPr>
        <w:spacing w:after="0" w:line="240" w:lineRule="auto"/>
        <w:jc w:val="both"/>
        <w:rPr>
          <w:rFonts w:asciiTheme="majorHAnsi" w:hAnsiTheme="majorHAnsi" w:cstheme="majorHAnsi"/>
        </w:rPr>
      </w:pPr>
    </w:p>
    <w:p w14:paraId="4F27CBF8" w14:textId="6389A525" w:rsidR="00D66D0E" w:rsidRPr="000D7245" w:rsidRDefault="00D66D0E" w:rsidP="00D66D0E">
      <w:pPr>
        <w:pStyle w:val="Titre3"/>
        <w:spacing w:line="240" w:lineRule="auto"/>
        <w:ind w:left="709"/>
        <w:jc w:val="both"/>
        <w:rPr>
          <w:color w:val="2E74B5" w:themeColor="accent1" w:themeShade="BF"/>
        </w:rPr>
      </w:pPr>
      <w:bookmarkStart w:id="13" w:name="_Toc135834137"/>
      <w:r>
        <w:rPr>
          <w:color w:val="2E74B5" w:themeColor="accent1" w:themeShade="BF"/>
        </w:rPr>
        <w:t>I.</w:t>
      </w:r>
      <w:r w:rsidR="00DE788C">
        <w:rPr>
          <w:color w:val="2E74B5" w:themeColor="accent1" w:themeShade="BF"/>
        </w:rPr>
        <w:t>3</w:t>
      </w:r>
      <w:r>
        <w:rPr>
          <w:color w:val="2E74B5" w:themeColor="accent1" w:themeShade="BF"/>
        </w:rPr>
        <w:t>.2</w:t>
      </w:r>
      <w:r w:rsidR="000F3D44">
        <w:rPr>
          <w:color w:val="2E74B5" w:themeColor="accent1" w:themeShade="BF"/>
        </w:rPr>
        <w:t>.</w:t>
      </w:r>
      <w:r>
        <w:rPr>
          <w:color w:val="2E74B5" w:themeColor="accent1" w:themeShade="BF"/>
        </w:rPr>
        <w:t xml:space="preserve"> Ordre de priorité</w:t>
      </w:r>
      <w:bookmarkEnd w:id="13"/>
    </w:p>
    <w:p w14:paraId="44C8C0C3" w14:textId="77777777" w:rsidR="00D66D0E" w:rsidRDefault="00D66D0E" w:rsidP="00D66D0E">
      <w:pPr>
        <w:spacing w:after="0" w:line="240" w:lineRule="auto"/>
        <w:jc w:val="both"/>
      </w:pPr>
    </w:p>
    <w:p w14:paraId="2CFFBC12" w14:textId="30C715DE" w:rsidR="00D66D0E" w:rsidRPr="00D66D0E" w:rsidRDefault="00D66D0E" w:rsidP="00D66D0E">
      <w:pPr>
        <w:spacing w:after="0" w:line="240" w:lineRule="auto"/>
        <w:jc w:val="both"/>
        <w:rPr>
          <w:rFonts w:asciiTheme="majorHAnsi" w:hAnsiTheme="majorHAnsi" w:cstheme="majorHAnsi"/>
        </w:rPr>
      </w:pPr>
      <w:r w:rsidRPr="00D66D0E">
        <w:rPr>
          <w:rFonts w:asciiTheme="majorHAnsi" w:hAnsiTheme="majorHAnsi" w:cstheme="majorHAnsi"/>
        </w:rPr>
        <w:t>En cas de contradiction entre les stipulations des pièces contractuelles du marché, elles prévalent dans l’ordre de priorité suivant :</w:t>
      </w:r>
    </w:p>
    <w:p w14:paraId="256A8F8D" w14:textId="78E2F98A" w:rsidR="00D66D0E" w:rsidRPr="00D66D0E" w:rsidRDefault="00173440" w:rsidP="00D66D0E">
      <w:pPr>
        <w:numPr>
          <w:ilvl w:val="0"/>
          <w:numId w:val="17"/>
        </w:numPr>
        <w:spacing w:after="0" w:line="240" w:lineRule="auto"/>
        <w:jc w:val="both"/>
        <w:rPr>
          <w:rFonts w:asciiTheme="majorHAnsi" w:hAnsiTheme="majorHAnsi" w:cstheme="majorHAnsi"/>
        </w:rPr>
      </w:pPr>
      <w:r w:rsidRPr="00D66D0E">
        <w:rPr>
          <w:rFonts w:asciiTheme="majorHAnsi" w:hAnsiTheme="majorHAnsi" w:cstheme="majorHAnsi"/>
        </w:rPr>
        <w:t>L’acte</w:t>
      </w:r>
      <w:r w:rsidR="00D66D0E" w:rsidRPr="00D66D0E">
        <w:rPr>
          <w:rFonts w:asciiTheme="majorHAnsi" w:hAnsiTheme="majorHAnsi" w:cstheme="majorHAnsi"/>
        </w:rPr>
        <w:t xml:space="preserve"> d’engagement et ses éventuelles annexes financières ;</w:t>
      </w:r>
    </w:p>
    <w:p w14:paraId="0411CF32" w14:textId="367CCB49" w:rsidR="00D66D0E" w:rsidRPr="00D66D0E" w:rsidRDefault="00173440" w:rsidP="00D66D0E">
      <w:pPr>
        <w:numPr>
          <w:ilvl w:val="0"/>
          <w:numId w:val="17"/>
        </w:numPr>
        <w:spacing w:after="0" w:line="240" w:lineRule="auto"/>
        <w:jc w:val="both"/>
        <w:rPr>
          <w:rFonts w:asciiTheme="majorHAnsi" w:hAnsiTheme="majorHAnsi" w:cstheme="majorHAnsi"/>
        </w:rPr>
      </w:pPr>
      <w:r w:rsidRPr="00D66D0E">
        <w:rPr>
          <w:rFonts w:asciiTheme="majorHAnsi" w:hAnsiTheme="majorHAnsi" w:cstheme="majorHAnsi"/>
        </w:rPr>
        <w:t>Le</w:t>
      </w:r>
      <w:r w:rsidR="00D66D0E" w:rsidRPr="00D66D0E">
        <w:rPr>
          <w:rFonts w:asciiTheme="majorHAnsi" w:hAnsiTheme="majorHAnsi" w:cstheme="majorHAnsi"/>
        </w:rPr>
        <w:t xml:space="preserve"> cahier des clauses administratives particulières (CCAP) ou tout autre document qui en tient lieu et ses éventuelles annexes ;</w:t>
      </w:r>
    </w:p>
    <w:p w14:paraId="3A4662C4" w14:textId="5A89B51A" w:rsidR="00D66D0E" w:rsidRPr="00D66D0E" w:rsidRDefault="00173440" w:rsidP="00D66D0E">
      <w:pPr>
        <w:numPr>
          <w:ilvl w:val="0"/>
          <w:numId w:val="17"/>
        </w:numPr>
        <w:spacing w:after="0" w:line="240" w:lineRule="auto"/>
        <w:jc w:val="both"/>
        <w:rPr>
          <w:rFonts w:asciiTheme="majorHAnsi" w:hAnsiTheme="majorHAnsi" w:cstheme="majorHAnsi"/>
        </w:rPr>
      </w:pPr>
      <w:r w:rsidRPr="00D66D0E">
        <w:rPr>
          <w:rFonts w:asciiTheme="majorHAnsi" w:hAnsiTheme="majorHAnsi" w:cstheme="majorHAnsi"/>
        </w:rPr>
        <w:t>Le</w:t>
      </w:r>
      <w:r w:rsidR="00D66D0E" w:rsidRPr="00D66D0E">
        <w:rPr>
          <w:rFonts w:asciiTheme="majorHAnsi" w:hAnsiTheme="majorHAnsi" w:cstheme="majorHAnsi"/>
        </w:rPr>
        <w:t xml:space="preserve"> cahier des clauses techniques particulières (CCTP) ou tout autre document qui en tient lieu et ses éventuelles annexes ;</w:t>
      </w:r>
    </w:p>
    <w:p w14:paraId="3947DC7C" w14:textId="37784B81" w:rsidR="00D66D0E" w:rsidRPr="00D66D0E" w:rsidRDefault="00173440" w:rsidP="00D66D0E">
      <w:pPr>
        <w:numPr>
          <w:ilvl w:val="0"/>
          <w:numId w:val="17"/>
        </w:numPr>
        <w:spacing w:after="0" w:line="240" w:lineRule="auto"/>
        <w:jc w:val="both"/>
        <w:rPr>
          <w:rFonts w:asciiTheme="majorHAnsi" w:hAnsiTheme="majorHAnsi" w:cstheme="majorHAnsi"/>
        </w:rPr>
      </w:pPr>
      <w:r w:rsidRPr="00D66D0E">
        <w:rPr>
          <w:rFonts w:asciiTheme="majorHAnsi" w:hAnsiTheme="majorHAnsi" w:cstheme="majorHAnsi"/>
        </w:rPr>
        <w:t>Le</w:t>
      </w:r>
      <w:r w:rsidR="00D66D0E" w:rsidRPr="00D66D0E">
        <w:rPr>
          <w:rFonts w:asciiTheme="majorHAnsi" w:hAnsiTheme="majorHAnsi" w:cstheme="majorHAnsi"/>
        </w:rPr>
        <w:t xml:space="preserve"> cahier des clauses administratives générales (CCAG PI) applicable aux prestations intellectuelles 2021 ;</w:t>
      </w:r>
    </w:p>
    <w:p w14:paraId="14E24E60" w14:textId="0CEBF62C" w:rsidR="00D66D0E" w:rsidRPr="00D66D0E" w:rsidRDefault="00173440" w:rsidP="00D66D0E">
      <w:pPr>
        <w:numPr>
          <w:ilvl w:val="0"/>
          <w:numId w:val="17"/>
        </w:numPr>
        <w:spacing w:after="0" w:line="240" w:lineRule="auto"/>
        <w:jc w:val="both"/>
        <w:rPr>
          <w:rFonts w:asciiTheme="majorHAnsi" w:hAnsiTheme="majorHAnsi" w:cstheme="majorHAnsi"/>
        </w:rPr>
      </w:pPr>
      <w:r w:rsidRPr="00D66D0E">
        <w:rPr>
          <w:rFonts w:asciiTheme="majorHAnsi" w:hAnsiTheme="majorHAnsi" w:cstheme="majorHAnsi"/>
        </w:rPr>
        <w:t>Le</w:t>
      </w:r>
      <w:r w:rsidR="00D66D0E" w:rsidRPr="00D66D0E">
        <w:rPr>
          <w:rFonts w:asciiTheme="majorHAnsi" w:hAnsiTheme="majorHAnsi" w:cstheme="majorHAnsi"/>
        </w:rPr>
        <w:t xml:space="preserve"> cahier des clauses techniques générales (CCTG) applicable aux prestations, objet du marché, auquel il se réfère ;</w:t>
      </w:r>
    </w:p>
    <w:p w14:paraId="48E57DBC" w14:textId="324D23BB" w:rsidR="00D66D0E" w:rsidRPr="00D66D0E" w:rsidRDefault="00173440" w:rsidP="00D66D0E">
      <w:pPr>
        <w:numPr>
          <w:ilvl w:val="0"/>
          <w:numId w:val="17"/>
        </w:numPr>
        <w:spacing w:after="0" w:line="240" w:lineRule="auto"/>
        <w:jc w:val="both"/>
        <w:rPr>
          <w:rFonts w:asciiTheme="majorHAnsi" w:hAnsiTheme="majorHAnsi" w:cstheme="majorHAnsi"/>
        </w:rPr>
      </w:pPr>
      <w:r w:rsidRPr="00D66D0E">
        <w:rPr>
          <w:rFonts w:asciiTheme="majorHAnsi" w:hAnsiTheme="majorHAnsi" w:cstheme="majorHAnsi"/>
        </w:rPr>
        <w:t>L’offre</w:t>
      </w:r>
      <w:r w:rsidR="00D66D0E" w:rsidRPr="00D66D0E">
        <w:rPr>
          <w:rFonts w:asciiTheme="majorHAnsi" w:hAnsiTheme="majorHAnsi" w:cstheme="majorHAnsi"/>
        </w:rPr>
        <w:t xml:space="preserve"> technique du titulaire ;</w:t>
      </w:r>
    </w:p>
    <w:p w14:paraId="27156C5E" w14:textId="158E1DBF" w:rsidR="00D66D0E" w:rsidRDefault="00173440" w:rsidP="00D66D0E">
      <w:pPr>
        <w:numPr>
          <w:ilvl w:val="0"/>
          <w:numId w:val="17"/>
        </w:numPr>
        <w:spacing w:after="0" w:line="240" w:lineRule="auto"/>
        <w:ind w:left="714" w:hanging="357"/>
        <w:jc w:val="both"/>
        <w:rPr>
          <w:rFonts w:asciiTheme="majorHAnsi" w:hAnsiTheme="majorHAnsi" w:cstheme="majorHAnsi"/>
        </w:rPr>
      </w:pPr>
      <w:r w:rsidRPr="00D66D0E">
        <w:rPr>
          <w:rFonts w:asciiTheme="majorHAnsi" w:hAnsiTheme="majorHAnsi" w:cstheme="majorHAnsi"/>
        </w:rPr>
        <w:t>Les</w:t>
      </w:r>
      <w:r w:rsidR="00D66D0E" w:rsidRPr="00D66D0E">
        <w:rPr>
          <w:rFonts w:asciiTheme="majorHAnsi" w:hAnsiTheme="majorHAnsi" w:cstheme="majorHAnsi"/>
        </w:rPr>
        <w:t xml:space="preserve"> actes spéciaux de sous-traitance et leurs éventuels actes modificatifs, postérieurs à la notification du marché.</w:t>
      </w:r>
    </w:p>
    <w:p w14:paraId="69EC4D3B" w14:textId="77777777" w:rsidR="00D66D0E" w:rsidRDefault="00D66D0E" w:rsidP="00D66D0E">
      <w:pPr>
        <w:spacing w:after="0" w:line="240" w:lineRule="auto"/>
        <w:ind w:left="714"/>
        <w:jc w:val="both"/>
        <w:rPr>
          <w:rFonts w:asciiTheme="majorHAnsi" w:hAnsiTheme="majorHAnsi" w:cstheme="majorHAnsi"/>
        </w:rPr>
      </w:pPr>
    </w:p>
    <w:p w14:paraId="5D930A6A" w14:textId="10C9AA3D" w:rsidR="00D66D0E" w:rsidRDefault="00D66D0E" w:rsidP="00D66D0E">
      <w:pPr>
        <w:pStyle w:val="Titre2"/>
      </w:pPr>
      <w:bookmarkStart w:id="14" w:name="_Toc135834138"/>
      <w:r>
        <w:t>I.</w:t>
      </w:r>
      <w:r w:rsidR="00DE788C">
        <w:t>4</w:t>
      </w:r>
      <w:r w:rsidR="000F3D44">
        <w:t>.</w:t>
      </w:r>
      <w:r>
        <w:t xml:space="preserve"> Examen de la situation fiscale et sociale</w:t>
      </w:r>
      <w:bookmarkEnd w:id="14"/>
    </w:p>
    <w:p w14:paraId="6D036670" w14:textId="77777777" w:rsidR="00D66D0E" w:rsidRDefault="00D66D0E" w:rsidP="00D66D0E">
      <w:pPr>
        <w:spacing w:after="0" w:line="240" w:lineRule="auto"/>
        <w:jc w:val="both"/>
        <w:rPr>
          <w:rFonts w:asciiTheme="majorHAnsi" w:hAnsiTheme="majorHAnsi" w:cstheme="majorHAnsi"/>
        </w:rPr>
      </w:pPr>
    </w:p>
    <w:p w14:paraId="3E5FA5EE" w14:textId="6404A5A8" w:rsidR="00D66D0E" w:rsidRPr="00D66D0E" w:rsidRDefault="00D66D0E" w:rsidP="00D66D0E">
      <w:pPr>
        <w:spacing w:after="0" w:line="240" w:lineRule="auto"/>
        <w:jc w:val="both"/>
        <w:rPr>
          <w:rFonts w:asciiTheme="majorHAnsi" w:hAnsiTheme="majorHAnsi" w:cstheme="majorHAnsi"/>
        </w:rPr>
      </w:pPr>
      <w:r w:rsidRPr="00D66D0E">
        <w:rPr>
          <w:rFonts w:asciiTheme="majorHAnsi" w:hAnsiTheme="majorHAnsi" w:cstheme="majorHAnsi"/>
        </w:rPr>
        <w:t xml:space="preserve">Conformément à l’article </w:t>
      </w:r>
      <w:hyperlink r:id="rId10" w:history="1">
        <w:r w:rsidRPr="00173440">
          <w:rPr>
            <w:rStyle w:val="Lienhypertexte"/>
            <w:rFonts w:asciiTheme="majorHAnsi" w:hAnsiTheme="majorHAnsi" w:cstheme="majorHAnsi"/>
          </w:rPr>
          <w:t>D. 8222-5 1° du code du travail</w:t>
        </w:r>
      </w:hyperlink>
      <w:r w:rsidRPr="00D66D0E">
        <w:rPr>
          <w:rFonts w:asciiTheme="majorHAnsi" w:hAnsiTheme="majorHAnsi" w:cstheme="majorHAnsi"/>
        </w:rPr>
        <w:t>, le titulaire devra fournir tous les</w:t>
      </w:r>
      <w:r w:rsidR="00173440">
        <w:rPr>
          <w:rFonts w:asciiTheme="majorHAnsi" w:hAnsiTheme="majorHAnsi" w:cstheme="majorHAnsi"/>
        </w:rPr>
        <w:t xml:space="preserve"> </w:t>
      </w:r>
      <w:r w:rsidR="00173440" w:rsidRPr="00173440">
        <w:rPr>
          <w:rFonts w:asciiTheme="majorHAnsi" w:hAnsiTheme="majorHAnsi" w:cstheme="majorHAnsi"/>
          <w:b/>
        </w:rPr>
        <w:t>6</w:t>
      </w:r>
      <w:r w:rsidRPr="00173440">
        <w:rPr>
          <w:rFonts w:asciiTheme="majorHAnsi" w:hAnsiTheme="majorHAnsi" w:cstheme="majorHAnsi"/>
          <w:b/>
        </w:rPr>
        <w:t xml:space="preserve"> mois</w:t>
      </w:r>
      <w:r w:rsidRPr="00D66D0E">
        <w:rPr>
          <w:rFonts w:asciiTheme="majorHAnsi" w:hAnsiTheme="majorHAnsi" w:cstheme="majorHAnsi"/>
        </w:rPr>
        <w:t>, jusqu’à la fin de l’exécution du marché, une attestation de fourniture des déclarations sociales et de paiement des cotisations et contributions de sécurité sociale prévue à l'article L. 243-15 émanant de l'organisme de protection sociale chargé du recouvrement des cotisations et des contributions dont elle s'assure de l'authenticité auprès de l'organisme de recouvrement des cotisations de sécurité sociale.</w:t>
      </w:r>
    </w:p>
    <w:p w14:paraId="766D7213" w14:textId="77777777" w:rsidR="00D66D0E" w:rsidRPr="00D66D0E" w:rsidRDefault="00D66D0E" w:rsidP="00D66D0E">
      <w:pPr>
        <w:spacing w:after="0" w:line="240" w:lineRule="auto"/>
        <w:jc w:val="both"/>
        <w:rPr>
          <w:rFonts w:asciiTheme="majorHAnsi" w:hAnsiTheme="majorHAnsi" w:cstheme="majorHAnsi"/>
        </w:rPr>
      </w:pPr>
    </w:p>
    <w:p w14:paraId="367DC00A" w14:textId="3EE057CB" w:rsidR="00D66D0E" w:rsidRDefault="00D66D0E" w:rsidP="00D66D0E">
      <w:pPr>
        <w:spacing w:after="0" w:line="240" w:lineRule="auto"/>
        <w:jc w:val="both"/>
        <w:rPr>
          <w:rFonts w:asciiTheme="majorHAnsi" w:hAnsiTheme="majorHAnsi" w:cstheme="majorHAnsi"/>
        </w:rPr>
      </w:pPr>
      <w:r w:rsidRPr="00D66D0E">
        <w:rPr>
          <w:rFonts w:asciiTheme="majorHAnsi" w:hAnsiTheme="majorHAnsi" w:cstheme="majorHAnsi"/>
        </w:rPr>
        <w:t>En cas de non remise des documents susmentionnés, et après mise en demeure notifiée restée infructueuse, le marché peut être résilié aux torts du titulaire sans que celui-ci puisse prétendre à indemnité.</w:t>
      </w:r>
    </w:p>
    <w:p w14:paraId="3F94D186" w14:textId="77777777" w:rsidR="00D66D0E" w:rsidRDefault="00D66D0E" w:rsidP="00D66D0E">
      <w:pPr>
        <w:spacing w:after="0" w:line="240" w:lineRule="auto"/>
        <w:jc w:val="both"/>
        <w:rPr>
          <w:rFonts w:asciiTheme="majorHAnsi" w:hAnsiTheme="majorHAnsi" w:cstheme="majorHAnsi"/>
        </w:rPr>
      </w:pPr>
    </w:p>
    <w:p w14:paraId="2E916D61" w14:textId="098E99F5" w:rsidR="000F3D44" w:rsidRPr="00B378EA" w:rsidRDefault="000F3D44" w:rsidP="000F3D44">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15" w:name="_Toc135834139"/>
      <w:r w:rsidRPr="00B378EA">
        <w:rPr>
          <w:rFonts w:asciiTheme="minorHAnsi" w:hAnsiTheme="minorHAnsi"/>
        </w:rPr>
        <w:t>I</w:t>
      </w:r>
      <w:r>
        <w:rPr>
          <w:rFonts w:asciiTheme="minorHAnsi" w:hAnsiTheme="minorHAnsi"/>
        </w:rPr>
        <w:t>I.</w:t>
      </w:r>
      <w:r w:rsidRPr="00B378EA">
        <w:rPr>
          <w:rFonts w:asciiTheme="minorHAnsi" w:hAnsiTheme="minorHAnsi"/>
        </w:rPr>
        <w:t xml:space="preserve"> </w:t>
      </w:r>
      <w:r>
        <w:rPr>
          <w:rFonts w:asciiTheme="minorHAnsi" w:hAnsiTheme="minorHAnsi"/>
        </w:rPr>
        <w:t>PRIX ET REGLEMENT</w:t>
      </w:r>
      <w:bookmarkEnd w:id="15"/>
    </w:p>
    <w:p w14:paraId="1C1DFFFA" w14:textId="77777777" w:rsidR="000F3D44" w:rsidRDefault="000F3D44" w:rsidP="000F3D44">
      <w:pPr>
        <w:spacing w:after="0" w:line="240" w:lineRule="auto"/>
        <w:jc w:val="both"/>
      </w:pPr>
    </w:p>
    <w:p w14:paraId="45F1D636" w14:textId="69A72084" w:rsidR="000F3D44" w:rsidRDefault="000F3D44" w:rsidP="000F3D44">
      <w:pPr>
        <w:pStyle w:val="Titre2"/>
      </w:pPr>
      <w:bookmarkStart w:id="16" w:name="_Toc135834140"/>
      <w:r>
        <w:t>II.1. Prix</w:t>
      </w:r>
      <w:bookmarkEnd w:id="16"/>
    </w:p>
    <w:p w14:paraId="69B3BEE4" w14:textId="77777777" w:rsidR="000F3D44" w:rsidRPr="00A92915" w:rsidRDefault="000F3D44" w:rsidP="000F3D44">
      <w:pPr>
        <w:spacing w:after="0" w:line="240" w:lineRule="auto"/>
        <w:jc w:val="both"/>
        <w:rPr>
          <w:rFonts w:asciiTheme="majorHAnsi" w:hAnsiTheme="majorHAnsi" w:cstheme="majorHAnsi"/>
        </w:rPr>
      </w:pPr>
    </w:p>
    <w:p w14:paraId="5C17458F" w14:textId="56993B31" w:rsidR="000F3D44" w:rsidRPr="00A92915" w:rsidRDefault="000F3D44" w:rsidP="000F3D44">
      <w:pPr>
        <w:spacing w:line="240" w:lineRule="auto"/>
        <w:jc w:val="both"/>
        <w:rPr>
          <w:rFonts w:asciiTheme="majorHAnsi" w:hAnsiTheme="majorHAnsi" w:cstheme="majorHAnsi"/>
        </w:rPr>
      </w:pPr>
      <w:r w:rsidRPr="00A92915">
        <w:rPr>
          <w:rFonts w:asciiTheme="majorHAnsi" w:hAnsiTheme="majorHAnsi" w:cstheme="majorHAnsi"/>
          <w:b/>
        </w:rPr>
        <w:t>Caractère du prix.</w:t>
      </w:r>
      <w:r w:rsidRPr="00A92915">
        <w:rPr>
          <w:rFonts w:asciiTheme="majorHAnsi" w:hAnsiTheme="majorHAnsi" w:cstheme="majorHAnsi"/>
        </w:rPr>
        <w:t xml:space="preserve"> Les prix sont réputés fermes.</w:t>
      </w:r>
    </w:p>
    <w:p w14:paraId="06DA527A" w14:textId="1B5D9A7B" w:rsidR="000F3D44" w:rsidRPr="00A92915" w:rsidRDefault="0047748D" w:rsidP="000F3D44">
      <w:pPr>
        <w:spacing w:line="240" w:lineRule="auto"/>
        <w:jc w:val="both"/>
        <w:rPr>
          <w:rFonts w:asciiTheme="majorHAnsi" w:hAnsiTheme="majorHAnsi" w:cstheme="majorHAnsi"/>
        </w:rPr>
      </w:pPr>
      <w:r>
        <w:rPr>
          <w:rFonts w:asciiTheme="majorHAnsi" w:hAnsiTheme="majorHAnsi" w:cstheme="majorHAnsi"/>
          <w:b/>
        </w:rPr>
        <w:t>Actualisation</w:t>
      </w:r>
      <w:r w:rsidR="000F3D44" w:rsidRPr="00A92915">
        <w:rPr>
          <w:rFonts w:asciiTheme="majorHAnsi" w:hAnsiTheme="majorHAnsi" w:cstheme="majorHAnsi"/>
          <w:b/>
        </w:rPr>
        <w:t xml:space="preserve"> du prix</w:t>
      </w:r>
      <w:r w:rsidR="000F3D44" w:rsidRPr="00A92915">
        <w:rPr>
          <w:rFonts w:asciiTheme="majorHAnsi" w:hAnsiTheme="majorHAnsi" w:cstheme="majorHAnsi"/>
        </w:rPr>
        <w:t>. Les prix fermes sont actualisés dans les conditions prévues par la réglementation en vigueur à la date à laquelle le candidat a fixé son prix dans l’offre.</w:t>
      </w:r>
    </w:p>
    <w:p w14:paraId="03ACC297" w14:textId="77777777" w:rsidR="00921344" w:rsidRDefault="00921344" w:rsidP="000F3D44">
      <w:pPr>
        <w:spacing w:after="0" w:line="240" w:lineRule="auto"/>
        <w:jc w:val="both"/>
        <w:rPr>
          <w:rFonts w:cstheme="minorHAnsi"/>
        </w:rPr>
      </w:pPr>
    </w:p>
    <w:p w14:paraId="71A553A7" w14:textId="03E08EF2" w:rsidR="00E20C50" w:rsidRDefault="00E20C50" w:rsidP="00E20C50">
      <w:pPr>
        <w:pStyle w:val="Titre2"/>
      </w:pPr>
      <w:bookmarkStart w:id="17" w:name="_Toc135834141"/>
      <w:r>
        <w:t>II.2. Précisions sur les modalités de règlement</w:t>
      </w:r>
      <w:bookmarkEnd w:id="17"/>
    </w:p>
    <w:p w14:paraId="6E872E05" w14:textId="77777777" w:rsidR="00E20C50" w:rsidRDefault="00E20C50" w:rsidP="00E20C50">
      <w:pPr>
        <w:spacing w:after="0" w:line="240" w:lineRule="auto"/>
        <w:jc w:val="both"/>
        <w:rPr>
          <w:rFonts w:asciiTheme="majorHAnsi" w:hAnsiTheme="majorHAnsi" w:cstheme="majorHAnsi"/>
        </w:rPr>
      </w:pPr>
    </w:p>
    <w:p w14:paraId="2D53021B" w14:textId="64A4C477" w:rsidR="00E20C50" w:rsidRPr="000D7245" w:rsidRDefault="00E20C50" w:rsidP="00E20C50">
      <w:pPr>
        <w:pStyle w:val="Titre3"/>
        <w:spacing w:line="240" w:lineRule="auto"/>
        <w:ind w:left="709"/>
        <w:jc w:val="both"/>
        <w:rPr>
          <w:color w:val="2E74B5" w:themeColor="accent1" w:themeShade="BF"/>
        </w:rPr>
      </w:pPr>
      <w:bookmarkStart w:id="18" w:name="_Hlk91667578"/>
      <w:bookmarkStart w:id="19" w:name="_Toc135834142"/>
      <w:r>
        <w:rPr>
          <w:color w:val="2E74B5" w:themeColor="accent1" w:themeShade="BF"/>
        </w:rPr>
        <w:t>II.2.</w:t>
      </w:r>
      <w:r w:rsidR="001702E2">
        <w:rPr>
          <w:color w:val="2E74B5" w:themeColor="accent1" w:themeShade="BF"/>
        </w:rPr>
        <w:t>1</w:t>
      </w:r>
      <w:r>
        <w:rPr>
          <w:color w:val="2E74B5" w:themeColor="accent1" w:themeShade="BF"/>
        </w:rPr>
        <w:t>. Acomptes</w:t>
      </w:r>
      <w:bookmarkEnd w:id="19"/>
    </w:p>
    <w:p w14:paraId="64849994" w14:textId="77777777" w:rsidR="00E20C50" w:rsidRDefault="00E20C50" w:rsidP="00E20C50">
      <w:pPr>
        <w:spacing w:after="0" w:line="240" w:lineRule="auto"/>
        <w:jc w:val="both"/>
      </w:pPr>
    </w:p>
    <w:p w14:paraId="130308F9" w14:textId="77777777" w:rsidR="005E5E0E" w:rsidRDefault="00E20C50" w:rsidP="00E20C50">
      <w:pPr>
        <w:spacing w:after="0" w:line="240" w:lineRule="auto"/>
        <w:jc w:val="both"/>
        <w:rPr>
          <w:rFonts w:asciiTheme="majorHAnsi" w:hAnsiTheme="majorHAnsi" w:cstheme="majorHAnsi"/>
        </w:rPr>
      </w:pPr>
      <w:r w:rsidRPr="00E20C50">
        <w:rPr>
          <w:rFonts w:asciiTheme="majorHAnsi" w:hAnsiTheme="majorHAnsi" w:cstheme="majorHAnsi"/>
        </w:rPr>
        <w:t xml:space="preserve">Le montant de chaque acompte est déterminé par l’acheteur, sur la base du descriptif des prestations effectuées et de leur montant produit par le titulaire. </w:t>
      </w:r>
    </w:p>
    <w:p w14:paraId="0B5BFE65" w14:textId="77777777" w:rsidR="005E5E0E" w:rsidRDefault="005E5E0E" w:rsidP="00E20C50">
      <w:pPr>
        <w:spacing w:after="0" w:line="240" w:lineRule="auto"/>
        <w:jc w:val="both"/>
        <w:rPr>
          <w:rFonts w:asciiTheme="majorHAnsi" w:hAnsiTheme="majorHAnsi" w:cstheme="majorHAnsi"/>
        </w:rPr>
      </w:pPr>
    </w:p>
    <w:p w14:paraId="1795CE80" w14:textId="767BEDBA" w:rsidR="00E20C50" w:rsidRDefault="00E20C50" w:rsidP="00E20C50">
      <w:pPr>
        <w:spacing w:after="0" w:line="240" w:lineRule="auto"/>
        <w:jc w:val="both"/>
        <w:rPr>
          <w:rFonts w:asciiTheme="majorHAnsi" w:hAnsiTheme="majorHAnsi" w:cstheme="majorHAnsi"/>
        </w:rPr>
      </w:pPr>
      <w:r w:rsidRPr="00E20C50">
        <w:rPr>
          <w:rFonts w:asciiTheme="majorHAnsi" w:hAnsiTheme="majorHAnsi" w:cstheme="majorHAnsi"/>
        </w:rPr>
        <w:t>Chaque acompte fait l’objet d’une demande de paiement.</w:t>
      </w:r>
    </w:p>
    <w:p w14:paraId="033ACAE5" w14:textId="77777777" w:rsidR="00E20C50" w:rsidRPr="00E20C50" w:rsidRDefault="00E20C50" w:rsidP="00E20C50">
      <w:pPr>
        <w:spacing w:after="0" w:line="240" w:lineRule="auto"/>
        <w:jc w:val="both"/>
        <w:rPr>
          <w:rFonts w:asciiTheme="majorHAnsi" w:hAnsiTheme="majorHAnsi" w:cstheme="majorHAnsi"/>
        </w:rPr>
      </w:pPr>
    </w:p>
    <w:p w14:paraId="05CB8266" w14:textId="6AE4A854" w:rsidR="00E20C50" w:rsidRPr="000D7245" w:rsidRDefault="00E20C50" w:rsidP="00E20C50">
      <w:pPr>
        <w:pStyle w:val="Titre3"/>
        <w:spacing w:line="240" w:lineRule="auto"/>
        <w:ind w:left="709"/>
        <w:jc w:val="both"/>
        <w:rPr>
          <w:color w:val="2E74B5" w:themeColor="accent1" w:themeShade="BF"/>
        </w:rPr>
      </w:pPr>
      <w:bookmarkStart w:id="20" w:name="_Toc135834143"/>
      <w:bookmarkEnd w:id="18"/>
      <w:r>
        <w:rPr>
          <w:color w:val="2E74B5" w:themeColor="accent1" w:themeShade="BF"/>
        </w:rPr>
        <w:t>II.2.</w:t>
      </w:r>
      <w:r w:rsidR="001702E2">
        <w:rPr>
          <w:color w:val="2E74B5" w:themeColor="accent1" w:themeShade="BF"/>
        </w:rPr>
        <w:t>2</w:t>
      </w:r>
      <w:r>
        <w:rPr>
          <w:color w:val="2E74B5" w:themeColor="accent1" w:themeShade="BF"/>
        </w:rPr>
        <w:t>. Contenu de la demande de paiement</w:t>
      </w:r>
      <w:bookmarkEnd w:id="20"/>
    </w:p>
    <w:p w14:paraId="6B563029" w14:textId="77777777" w:rsidR="00E20C50" w:rsidRDefault="00E20C50" w:rsidP="00E20C50">
      <w:pPr>
        <w:spacing w:after="0" w:line="240" w:lineRule="auto"/>
        <w:jc w:val="both"/>
      </w:pPr>
    </w:p>
    <w:p w14:paraId="169D9671" w14:textId="15C3E264" w:rsidR="00E20C50" w:rsidRPr="00E20C50" w:rsidRDefault="00E20C50" w:rsidP="00E20C50">
      <w:pPr>
        <w:spacing w:line="240" w:lineRule="auto"/>
        <w:jc w:val="both"/>
        <w:rPr>
          <w:rFonts w:asciiTheme="majorHAnsi" w:hAnsiTheme="majorHAnsi" w:cstheme="majorHAnsi"/>
        </w:rPr>
      </w:pPr>
      <w:r w:rsidRPr="00E20C50">
        <w:rPr>
          <w:rFonts w:asciiTheme="majorHAnsi" w:hAnsiTheme="majorHAnsi" w:cstheme="majorHAnsi"/>
          <w:b/>
        </w:rPr>
        <w:t>Justificatifs de paiement</w:t>
      </w:r>
      <w:r w:rsidRPr="00E20C50">
        <w:rPr>
          <w:rFonts w:asciiTheme="majorHAnsi" w:hAnsiTheme="majorHAnsi" w:cstheme="majorHAnsi"/>
        </w:rPr>
        <w:t>. Lorsque le titulaire remet à l’acheteur une demande de paiement, il y joint les pièces nécessaires à la justification du paiement</w:t>
      </w:r>
      <w:r w:rsidR="00864C4B">
        <w:rPr>
          <w:rFonts w:asciiTheme="majorHAnsi" w:hAnsiTheme="majorHAnsi" w:cstheme="majorHAnsi"/>
        </w:rPr>
        <w:t xml:space="preserve"> (situation d’avancement détaillée).</w:t>
      </w:r>
    </w:p>
    <w:p w14:paraId="60E21043" w14:textId="77777777" w:rsidR="00E20C50" w:rsidRPr="00E20C50" w:rsidRDefault="00E20C50" w:rsidP="00E20C50">
      <w:pPr>
        <w:spacing w:line="240" w:lineRule="auto"/>
        <w:jc w:val="both"/>
        <w:rPr>
          <w:rFonts w:asciiTheme="majorHAnsi" w:hAnsiTheme="majorHAnsi" w:cstheme="majorHAnsi"/>
        </w:rPr>
      </w:pPr>
      <w:r w:rsidRPr="00E20C50">
        <w:rPr>
          <w:rFonts w:asciiTheme="majorHAnsi" w:hAnsiTheme="majorHAnsi" w:cstheme="majorHAnsi"/>
        </w:rPr>
        <w:t xml:space="preserve">La demande de paiement est datée. </w:t>
      </w:r>
    </w:p>
    <w:p w14:paraId="419642D8" w14:textId="77777777" w:rsidR="00E20C50" w:rsidRPr="00E20C50" w:rsidRDefault="00E20C50" w:rsidP="00E20C50">
      <w:pPr>
        <w:spacing w:after="0" w:line="240" w:lineRule="auto"/>
        <w:jc w:val="both"/>
        <w:rPr>
          <w:rFonts w:asciiTheme="majorHAnsi" w:hAnsiTheme="majorHAnsi" w:cstheme="majorHAnsi"/>
        </w:rPr>
      </w:pPr>
      <w:r w:rsidRPr="00E20C50">
        <w:rPr>
          <w:rFonts w:asciiTheme="majorHAnsi" w:hAnsiTheme="majorHAnsi" w:cstheme="majorHAnsi"/>
        </w:rPr>
        <w:t>Elle mentionne les références du marché ainsi que, selon le cas :</w:t>
      </w:r>
    </w:p>
    <w:p w14:paraId="5F0DB567" w14:textId="7015D3E0" w:rsidR="00E20C50" w:rsidRPr="00E20C50" w:rsidRDefault="005E5E0E" w:rsidP="00E20C50">
      <w:pPr>
        <w:numPr>
          <w:ilvl w:val="0"/>
          <w:numId w:val="17"/>
        </w:numPr>
        <w:spacing w:after="0" w:line="240" w:lineRule="auto"/>
        <w:jc w:val="both"/>
        <w:rPr>
          <w:rFonts w:asciiTheme="majorHAnsi" w:hAnsiTheme="majorHAnsi" w:cstheme="majorHAnsi"/>
        </w:rPr>
      </w:pPr>
      <w:r w:rsidRPr="00E20C50">
        <w:rPr>
          <w:rFonts w:asciiTheme="majorHAnsi" w:hAnsiTheme="majorHAnsi" w:cstheme="majorHAnsi"/>
        </w:rPr>
        <w:t>Le</w:t>
      </w:r>
      <w:r w:rsidR="00E20C50" w:rsidRPr="00E20C50">
        <w:rPr>
          <w:rFonts w:asciiTheme="majorHAnsi" w:hAnsiTheme="majorHAnsi" w:cstheme="majorHAnsi"/>
        </w:rPr>
        <w:t xml:space="preserve"> montant des prestations admises, établi conformément aux stipulations du marché, hors TVA et, le cas échéant, diminué des réfactions fixées conformément aux stipulations de l’article 29.3 du CCAG PI 2021 ;</w:t>
      </w:r>
    </w:p>
    <w:p w14:paraId="2BF50769" w14:textId="0C00D4E8" w:rsidR="00E20C50" w:rsidRPr="00E20C50" w:rsidRDefault="005E5E0E" w:rsidP="00E20C50">
      <w:pPr>
        <w:numPr>
          <w:ilvl w:val="0"/>
          <w:numId w:val="17"/>
        </w:numPr>
        <w:spacing w:after="0" w:line="240" w:lineRule="auto"/>
        <w:jc w:val="both"/>
        <w:rPr>
          <w:rFonts w:asciiTheme="majorHAnsi" w:hAnsiTheme="majorHAnsi" w:cstheme="majorHAnsi"/>
        </w:rPr>
      </w:pPr>
      <w:r w:rsidRPr="00E20C50">
        <w:rPr>
          <w:rFonts w:asciiTheme="majorHAnsi" w:hAnsiTheme="majorHAnsi" w:cstheme="majorHAnsi"/>
        </w:rPr>
        <w:t>La</w:t>
      </w:r>
      <w:r w:rsidR="00E20C50" w:rsidRPr="00E20C50">
        <w:rPr>
          <w:rFonts w:asciiTheme="majorHAnsi" w:hAnsiTheme="majorHAnsi" w:cstheme="majorHAnsi"/>
        </w:rPr>
        <w:t xml:space="preserve"> décomposition des prix forfaitaires et le détail des prix unitaires, lorsque, eu égard aux prescriptions du marché, les prestations ont été effectuées de manière incomplète ou non conforme ;</w:t>
      </w:r>
    </w:p>
    <w:p w14:paraId="722A1C8F" w14:textId="3A4E2965" w:rsidR="00E20C50" w:rsidRPr="00E20C50" w:rsidRDefault="005E5E0E" w:rsidP="00E20C50">
      <w:pPr>
        <w:numPr>
          <w:ilvl w:val="0"/>
          <w:numId w:val="17"/>
        </w:numPr>
        <w:spacing w:after="0" w:line="240" w:lineRule="auto"/>
        <w:jc w:val="both"/>
        <w:rPr>
          <w:rFonts w:asciiTheme="majorHAnsi" w:hAnsiTheme="majorHAnsi" w:cstheme="majorHAnsi"/>
        </w:rPr>
      </w:pPr>
      <w:r w:rsidRPr="00E20C50">
        <w:rPr>
          <w:rFonts w:asciiTheme="majorHAnsi" w:hAnsiTheme="majorHAnsi" w:cstheme="majorHAnsi"/>
        </w:rPr>
        <w:t>Lorsqu’un</w:t>
      </w:r>
      <w:r w:rsidR="00E20C50" w:rsidRPr="00E20C50">
        <w:rPr>
          <w:rFonts w:asciiTheme="majorHAnsi" w:hAnsiTheme="majorHAnsi" w:cstheme="majorHAnsi"/>
        </w:rPr>
        <w:t xml:space="preserve"> paiement est prévu à l’issue de certaines étapes de l’exécution du marché, le montant correspondant à la période en cause ;</w:t>
      </w:r>
    </w:p>
    <w:p w14:paraId="54969CD9" w14:textId="268B5F5F" w:rsidR="00E20C50" w:rsidRPr="00E20C50" w:rsidRDefault="000D1D5B" w:rsidP="00E20C50">
      <w:pPr>
        <w:numPr>
          <w:ilvl w:val="0"/>
          <w:numId w:val="17"/>
        </w:numPr>
        <w:spacing w:after="0" w:line="240" w:lineRule="auto"/>
        <w:jc w:val="both"/>
        <w:rPr>
          <w:rFonts w:asciiTheme="majorHAnsi" w:hAnsiTheme="majorHAnsi" w:cstheme="majorHAnsi"/>
        </w:rPr>
      </w:pPr>
      <w:r w:rsidRPr="00E20C50">
        <w:rPr>
          <w:rFonts w:asciiTheme="majorHAnsi" w:hAnsiTheme="majorHAnsi" w:cstheme="majorHAnsi"/>
        </w:rPr>
        <w:t>Le</w:t>
      </w:r>
      <w:r w:rsidR="00E20C50" w:rsidRPr="00E20C50">
        <w:rPr>
          <w:rFonts w:asciiTheme="majorHAnsi" w:hAnsiTheme="majorHAnsi" w:cstheme="majorHAnsi"/>
        </w:rPr>
        <w:t xml:space="preserve"> détail des calculs, avec justifications à l’appui, des coefficients des prix ;</w:t>
      </w:r>
    </w:p>
    <w:p w14:paraId="310C1743" w14:textId="7E287884" w:rsidR="00E20C50" w:rsidRPr="00E20C50" w:rsidRDefault="000D1D5B" w:rsidP="00E20C50">
      <w:pPr>
        <w:numPr>
          <w:ilvl w:val="0"/>
          <w:numId w:val="17"/>
        </w:numPr>
        <w:spacing w:after="0" w:line="240" w:lineRule="auto"/>
        <w:jc w:val="both"/>
        <w:rPr>
          <w:rFonts w:asciiTheme="majorHAnsi" w:hAnsiTheme="majorHAnsi" w:cstheme="majorHAnsi"/>
        </w:rPr>
      </w:pPr>
      <w:r w:rsidRPr="00E20C50">
        <w:rPr>
          <w:rFonts w:asciiTheme="majorHAnsi" w:hAnsiTheme="majorHAnsi" w:cstheme="majorHAnsi"/>
        </w:rPr>
        <w:t>En</w:t>
      </w:r>
      <w:r w:rsidR="00E20C50" w:rsidRPr="00E20C50">
        <w:rPr>
          <w:rFonts w:asciiTheme="majorHAnsi" w:hAnsiTheme="majorHAnsi" w:cstheme="majorHAnsi"/>
        </w:rPr>
        <w:t xml:space="preserve"> cas de groupement conjoint, pour chaque membre du groupement, le montant des prestations effectuées par celui-ci ;</w:t>
      </w:r>
    </w:p>
    <w:p w14:paraId="37E5246E" w14:textId="4AD5C72C" w:rsidR="00E20C50" w:rsidRPr="00E20C50" w:rsidRDefault="000D1D5B" w:rsidP="00E20C50">
      <w:pPr>
        <w:numPr>
          <w:ilvl w:val="0"/>
          <w:numId w:val="17"/>
        </w:numPr>
        <w:spacing w:after="0" w:line="240" w:lineRule="auto"/>
        <w:jc w:val="both"/>
        <w:rPr>
          <w:rFonts w:asciiTheme="majorHAnsi" w:hAnsiTheme="majorHAnsi" w:cstheme="majorHAnsi"/>
        </w:rPr>
      </w:pPr>
      <w:r w:rsidRPr="00E20C50">
        <w:rPr>
          <w:rFonts w:asciiTheme="majorHAnsi" w:hAnsiTheme="majorHAnsi" w:cstheme="majorHAnsi"/>
        </w:rPr>
        <w:t>En</w:t>
      </w:r>
      <w:r w:rsidR="00E20C50" w:rsidRPr="00E20C50">
        <w:rPr>
          <w:rFonts w:asciiTheme="majorHAnsi" w:hAnsiTheme="majorHAnsi" w:cstheme="majorHAnsi"/>
        </w:rPr>
        <w:t xml:space="preserve"> cas de sous-traitance, la nature des prestations exécutées par le sous-traitant, leur montant total hors TVA, leur montant toutes taxes comprises ainsi que, le cas échéant, les variations de prix établies hors TVA et toutes taxes comprises ;</w:t>
      </w:r>
    </w:p>
    <w:p w14:paraId="6CB3678D" w14:textId="61344E6E" w:rsidR="00E20C50" w:rsidRPr="00E20C50" w:rsidRDefault="000D1D5B" w:rsidP="00E20C50">
      <w:pPr>
        <w:numPr>
          <w:ilvl w:val="0"/>
          <w:numId w:val="17"/>
        </w:numPr>
        <w:spacing w:line="240" w:lineRule="auto"/>
        <w:jc w:val="both"/>
        <w:rPr>
          <w:rFonts w:asciiTheme="majorHAnsi" w:hAnsiTheme="majorHAnsi" w:cstheme="majorHAnsi"/>
        </w:rPr>
      </w:pPr>
      <w:r w:rsidRPr="00E20C50">
        <w:rPr>
          <w:rFonts w:asciiTheme="majorHAnsi" w:hAnsiTheme="majorHAnsi" w:cstheme="majorHAnsi"/>
        </w:rPr>
        <w:t>Le</w:t>
      </w:r>
      <w:r w:rsidR="00E20C50" w:rsidRPr="00E20C50">
        <w:rPr>
          <w:rFonts w:asciiTheme="majorHAnsi" w:hAnsiTheme="majorHAnsi" w:cstheme="majorHAnsi"/>
        </w:rPr>
        <w:t xml:space="preserve"> cas échéant, les indemnités, primes et retenues autres que la retenue de garantie, établies conformément aux stipulations du marché.</w:t>
      </w:r>
    </w:p>
    <w:p w14:paraId="28818F1D" w14:textId="77777777" w:rsidR="00E20C50" w:rsidRPr="00E20C50" w:rsidRDefault="00E20C50" w:rsidP="00E20C50">
      <w:pPr>
        <w:spacing w:line="240" w:lineRule="auto"/>
        <w:jc w:val="both"/>
        <w:rPr>
          <w:rFonts w:asciiTheme="majorHAnsi" w:hAnsiTheme="majorHAnsi" w:cstheme="majorHAnsi"/>
        </w:rPr>
      </w:pPr>
      <w:r w:rsidRPr="00E20C50">
        <w:rPr>
          <w:rFonts w:asciiTheme="majorHAnsi" w:hAnsiTheme="majorHAnsi" w:cstheme="majorHAnsi"/>
          <w:b/>
        </w:rPr>
        <w:t>Distinction de taux de TVA</w:t>
      </w:r>
      <w:r w:rsidRPr="00E20C50">
        <w:rPr>
          <w:rFonts w:asciiTheme="majorHAnsi" w:hAnsiTheme="majorHAnsi" w:cstheme="majorHAnsi"/>
        </w:rPr>
        <w:t>.  La demande de paiement précise les éléments assujettis à la TVA, en les distinguant selon le taux applicable.</w:t>
      </w:r>
    </w:p>
    <w:p w14:paraId="1E6D6782" w14:textId="276A1147" w:rsidR="00E20C50" w:rsidRDefault="00E20C50" w:rsidP="000D01E3">
      <w:pPr>
        <w:spacing w:after="0" w:line="240" w:lineRule="auto"/>
        <w:jc w:val="both"/>
        <w:rPr>
          <w:rFonts w:asciiTheme="majorHAnsi" w:hAnsiTheme="majorHAnsi" w:cstheme="majorHAnsi"/>
        </w:rPr>
      </w:pPr>
      <w:r w:rsidRPr="00E20C50">
        <w:rPr>
          <w:rFonts w:asciiTheme="majorHAnsi" w:hAnsiTheme="majorHAnsi" w:cstheme="majorHAnsi"/>
          <w:b/>
        </w:rPr>
        <w:t>Date de la remise de la demande de paiement.</w:t>
      </w:r>
      <w:r w:rsidR="000D01E3">
        <w:rPr>
          <w:rFonts w:asciiTheme="majorHAnsi" w:hAnsiTheme="majorHAnsi" w:cstheme="majorHAnsi"/>
          <w:b/>
        </w:rPr>
        <w:t xml:space="preserve"> </w:t>
      </w:r>
      <w:r w:rsidR="00A55EC5" w:rsidRPr="00ED5705">
        <w:rPr>
          <w:rFonts w:asciiTheme="majorHAnsi" w:hAnsiTheme="majorHAnsi" w:cstheme="majorHAnsi"/>
        </w:rPr>
        <w:t>L</w:t>
      </w:r>
      <w:r w:rsidR="000D01E3" w:rsidRPr="000D01E3">
        <w:rPr>
          <w:rFonts w:asciiTheme="majorHAnsi" w:hAnsiTheme="majorHAnsi" w:cstheme="majorHAnsi"/>
        </w:rPr>
        <w:t xml:space="preserve">a demande de paiement </w:t>
      </w:r>
      <w:r w:rsidR="00ED5705">
        <w:rPr>
          <w:rFonts w:asciiTheme="majorHAnsi" w:hAnsiTheme="majorHAnsi" w:cstheme="majorHAnsi"/>
        </w:rPr>
        <w:t xml:space="preserve">se fait </w:t>
      </w:r>
      <w:r w:rsidR="000D01E3" w:rsidRPr="000D01E3">
        <w:rPr>
          <w:rFonts w:asciiTheme="majorHAnsi" w:hAnsiTheme="majorHAnsi" w:cstheme="majorHAnsi"/>
        </w:rPr>
        <w:t>après admission des prestations</w:t>
      </w:r>
      <w:r w:rsidR="00ED5705">
        <w:rPr>
          <w:rFonts w:asciiTheme="majorHAnsi" w:hAnsiTheme="majorHAnsi" w:cstheme="majorHAnsi"/>
        </w:rPr>
        <w:t xml:space="preserve"> de chacune des tranches</w:t>
      </w:r>
      <w:r w:rsidR="000D01E3" w:rsidRPr="000D01E3">
        <w:rPr>
          <w:rFonts w:asciiTheme="majorHAnsi" w:hAnsiTheme="majorHAnsi" w:cstheme="majorHAnsi"/>
        </w:rPr>
        <w:t>.</w:t>
      </w:r>
    </w:p>
    <w:p w14:paraId="74A14E63" w14:textId="6B491EE7" w:rsidR="000D01E3" w:rsidRDefault="000D01E3" w:rsidP="000D01E3">
      <w:pPr>
        <w:spacing w:after="0" w:line="240" w:lineRule="auto"/>
        <w:jc w:val="both"/>
        <w:rPr>
          <w:rFonts w:asciiTheme="majorHAnsi" w:hAnsiTheme="majorHAnsi" w:cstheme="majorHAnsi"/>
        </w:rPr>
      </w:pPr>
    </w:p>
    <w:p w14:paraId="6F337655" w14:textId="615684DF" w:rsidR="000D01E3" w:rsidRPr="00ED5705" w:rsidRDefault="000D01E3" w:rsidP="000D01E3">
      <w:pPr>
        <w:spacing w:after="0" w:line="240" w:lineRule="auto"/>
        <w:jc w:val="both"/>
        <w:rPr>
          <w:rFonts w:asciiTheme="majorHAnsi" w:hAnsiTheme="majorHAnsi" w:cstheme="majorHAnsi"/>
        </w:rPr>
      </w:pPr>
      <w:r w:rsidRPr="00ED5705">
        <w:rPr>
          <w:rFonts w:asciiTheme="majorHAnsi" w:hAnsiTheme="majorHAnsi" w:cstheme="majorHAnsi"/>
        </w:rPr>
        <w:t xml:space="preserve">Pour </w:t>
      </w:r>
      <w:r w:rsidR="00ED5705" w:rsidRPr="00ED5705">
        <w:rPr>
          <w:rFonts w:asciiTheme="majorHAnsi" w:hAnsiTheme="majorHAnsi" w:cstheme="majorHAnsi"/>
          <w:b/>
        </w:rPr>
        <w:t>les tranches optionnelles 2 et 3</w:t>
      </w:r>
      <w:r w:rsidRPr="00ED5705">
        <w:rPr>
          <w:rFonts w:asciiTheme="majorHAnsi" w:hAnsiTheme="majorHAnsi" w:cstheme="majorHAnsi"/>
        </w:rPr>
        <w:t>, la demande de paiement se fait au minimum tous les 2 mois.</w:t>
      </w:r>
    </w:p>
    <w:p w14:paraId="45161D77" w14:textId="35904549" w:rsidR="00F13A4F" w:rsidRPr="00E20C50" w:rsidRDefault="00F13A4F" w:rsidP="00E20C50">
      <w:pPr>
        <w:spacing w:line="240" w:lineRule="auto"/>
        <w:jc w:val="both"/>
        <w:rPr>
          <w:rFonts w:asciiTheme="majorHAnsi" w:hAnsiTheme="majorHAnsi" w:cstheme="majorHAnsi"/>
        </w:rPr>
      </w:pPr>
      <w:bookmarkStart w:id="21" w:name="_Hlk91668401"/>
    </w:p>
    <w:p w14:paraId="378EEE90" w14:textId="199365C8" w:rsidR="00F13A4F" w:rsidRPr="00B378EA" w:rsidRDefault="00F13A4F" w:rsidP="00F13A4F">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22" w:name="_Toc135834144"/>
      <w:r w:rsidRPr="00B378EA">
        <w:rPr>
          <w:rFonts w:asciiTheme="minorHAnsi" w:hAnsiTheme="minorHAnsi"/>
        </w:rPr>
        <w:t>I</w:t>
      </w:r>
      <w:r>
        <w:rPr>
          <w:rFonts w:asciiTheme="minorHAnsi" w:hAnsiTheme="minorHAnsi"/>
        </w:rPr>
        <w:t>II.</w:t>
      </w:r>
      <w:r w:rsidRPr="00B378EA">
        <w:rPr>
          <w:rFonts w:asciiTheme="minorHAnsi" w:hAnsiTheme="minorHAnsi"/>
        </w:rPr>
        <w:t xml:space="preserve"> </w:t>
      </w:r>
      <w:r>
        <w:rPr>
          <w:rFonts w:asciiTheme="minorHAnsi" w:hAnsiTheme="minorHAnsi"/>
        </w:rPr>
        <w:t>EXECUTION</w:t>
      </w:r>
      <w:bookmarkEnd w:id="22"/>
    </w:p>
    <w:p w14:paraId="0162DF49" w14:textId="77777777" w:rsidR="00F13A4F" w:rsidRDefault="00F13A4F" w:rsidP="00F13A4F">
      <w:pPr>
        <w:spacing w:after="0" w:line="240" w:lineRule="auto"/>
        <w:jc w:val="both"/>
      </w:pPr>
    </w:p>
    <w:p w14:paraId="6B22979A" w14:textId="15C61689" w:rsidR="00F13A4F" w:rsidRDefault="00F13A4F" w:rsidP="000D1D5B">
      <w:pPr>
        <w:pStyle w:val="Titre2"/>
      </w:pPr>
      <w:bookmarkStart w:id="23" w:name="_Toc135834145"/>
      <w:r>
        <w:t xml:space="preserve">III.1. </w:t>
      </w:r>
      <w:r w:rsidR="00311E88">
        <w:t>Délais d’exécution</w:t>
      </w:r>
      <w:bookmarkEnd w:id="23"/>
    </w:p>
    <w:p w14:paraId="00391399" w14:textId="77777777" w:rsidR="000D1D5B" w:rsidRDefault="000D1D5B" w:rsidP="00F13A4F">
      <w:pPr>
        <w:spacing w:after="0" w:line="240" w:lineRule="auto"/>
        <w:jc w:val="both"/>
      </w:pPr>
    </w:p>
    <w:bookmarkEnd w:id="21"/>
    <w:p w14:paraId="7396EA4A" w14:textId="085D819D" w:rsidR="00C77924" w:rsidRDefault="006B568A" w:rsidP="00F13A4F">
      <w:pPr>
        <w:spacing w:after="0" w:line="240" w:lineRule="auto"/>
        <w:jc w:val="both"/>
      </w:pPr>
      <w:r>
        <w:t>Un délai d’exécution par mission</w:t>
      </w:r>
      <w:r w:rsidR="00DE0AC5">
        <w:t xml:space="preserve"> est contractualisé dans le planning</w:t>
      </w:r>
      <w:r>
        <w:t>.</w:t>
      </w:r>
    </w:p>
    <w:p w14:paraId="5B0D16BC" w14:textId="202DFE85" w:rsidR="006B568A" w:rsidRDefault="006B568A" w:rsidP="00F13A4F">
      <w:pPr>
        <w:spacing w:after="0" w:line="240" w:lineRule="auto"/>
        <w:jc w:val="both"/>
      </w:pPr>
    </w:p>
    <w:p w14:paraId="1F89EE17" w14:textId="71AF2A63" w:rsidR="006B568A" w:rsidRPr="00BC36DD" w:rsidRDefault="006B568A" w:rsidP="00F13A4F">
      <w:pPr>
        <w:spacing w:after="0" w:line="240" w:lineRule="auto"/>
        <w:jc w:val="both"/>
      </w:pPr>
      <w:r>
        <w:t xml:space="preserve">Un OS sera émis </w:t>
      </w:r>
      <w:r w:rsidR="00ED5705">
        <w:t>pour chaque démarrage de tranche</w:t>
      </w:r>
      <w:r>
        <w:t xml:space="preserve"> et en constituera son point de départ.</w:t>
      </w:r>
    </w:p>
    <w:p w14:paraId="21235370" w14:textId="77777777" w:rsidR="00311E88" w:rsidRPr="00F13A4F" w:rsidRDefault="00311E88" w:rsidP="00F13A4F">
      <w:pPr>
        <w:spacing w:after="0" w:line="240" w:lineRule="auto"/>
        <w:jc w:val="both"/>
      </w:pPr>
    </w:p>
    <w:p w14:paraId="4A44B3F6" w14:textId="5F06A4D5" w:rsidR="00F13A4F" w:rsidRDefault="00F13A4F" w:rsidP="00F13A4F">
      <w:pPr>
        <w:pStyle w:val="Titre2"/>
      </w:pPr>
      <w:bookmarkStart w:id="24" w:name="_Toc135834146"/>
      <w:r>
        <w:t>III.2. Pénalités</w:t>
      </w:r>
      <w:bookmarkEnd w:id="24"/>
    </w:p>
    <w:p w14:paraId="48B8D057" w14:textId="77777777" w:rsidR="00F13A4F" w:rsidRPr="00A92915" w:rsidRDefault="00F13A4F" w:rsidP="00F13A4F">
      <w:pPr>
        <w:spacing w:after="0" w:line="240" w:lineRule="auto"/>
        <w:jc w:val="both"/>
        <w:rPr>
          <w:rFonts w:asciiTheme="majorHAnsi" w:hAnsiTheme="majorHAnsi" w:cstheme="majorHAnsi"/>
        </w:rPr>
      </w:pPr>
    </w:p>
    <w:p w14:paraId="4B3CC125" w14:textId="6D92E808" w:rsidR="00F13A4F" w:rsidRPr="00A92915" w:rsidRDefault="00F13A4F" w:rsidP="00F13A4F">
      <w:pPr>
        <w:spacing w:after="0" w:line="240" w:lineRule="auto"/>
        <w:jc w:val="both"/>
        <w:rPr>
          <w:rFonts w:asciiTheme="majorHAnsi" w:hAnsiTheme="majorHAnsi" w:cstheme="majorHAnsi"/>
        </w:rPr>
      </w:pPr>
      <w:r w:rsidRPr="00A92915">
        <w:rPr>
          <w:rFonts w:asciiTheme="majorHAnsi" w:hAnsiTheme="majorHAnsi" w:cstheme="majorHAnsi"/>
          <w:b/>
        </w:rPr>
        <w:t>Pénalités pour retard</w:t>
      </w:r>
      <w:r w:rsidRPr="00A92915">
        <w:rPr>
          <w:rFonts w:asciiTheme="majorHAnsi" w:hAnsiTheme="majorHAnsi" w:cstheme="majorHAnsi"/>
        </w:rPr>
        <w:t xml:space="preserve">. Lorsque l’acheteur envisage d’appliquer des pénalités de retard, il invite, par écrit, le titulaire à présenter ses observations dans un délai de </w:t>
      </w:r>
      <w:r w:rsidR="000D1D5B" w:rsidRPr="00A92915">
        <w:rPr>
          <w:rFonts w:asciiTheme="majorHAnsi" w:hAnsiTheme="majorHAnsi" w:cstheme="majorHAnsi"/>
          <w:b/>
        </w:rPr>
        <w:t>15</w:t>
      </w:r>
      <w:r w:rsidRPr="00A92915">
        <w:rPr>
          <w:rFonts w:asciiTheme="majorHAnsi" w:hAnsiTheme="majorHAnsi" w:cstheme="majorHAnsi"/>
          <w:b/>
        </w:rPr>
        <w:t xml:space="preserve"> jours</w:t>
      </w:r>
      <w:r w:rsidRPr="00A92915">
        <w:rPr>
          <w:rFonts w:asciiTheme="majorHAnsi" w:hAnsiTheme="majorHAnsi" w:cstheme="majorHAnsi"/>
          <w:i/>
        </w:rPr>
        <w:t>.</w:t>
      </w:r>
      <w:r w:rsidR="00B237B8" w:rsidRPr="00A92915">
        <w:rPr>
          <w:rFonts w:asciiTheme="majorHAnsi" w:hAnsiTheme="majorHAnsi" w:cstheme="majorHAnsi"/>
          <w:i/>
        </w:rPr>
        <w:t xml:space="preserve"> </w:t>
      </w:r>
      <w:r w:rsidRPr="00A92915">
        <w:rPr>
          <w:rFonts w:asciiTheme="majorHAnsi" w:hAnsiTheme="majorHAnsi" w:cstheme="majorHAnsi"/>
        </w:rPr>
        <w:t>Cette invitation précise le montant des pénalités susceptibles d’être appliquées, le ou les retards concernés ainsi que le délai imparti au titulaire pour présenter ses observations.</w:t>
      </w:r>
    </w:p>
    <w:p w14:paraId="74CA783D" w14:textId="77777777" w:rsidR="00F13A4F" w:rsidRPr="00A92915" w:rsidRDefault="00F13A4F" w:rsidP="00F13A4F">
      <w:pPr>
        <w:spacing w:after="0" w:line="240" w:lineRule="auto"/>
        <w:jc w:val="both"/>
        <w:rPr>
          <w:rFonts w:asciiTheme="majorHAnsi" w:hAnsiTheme="majorHAnsi" w:cstheme="majorHAnsi"/>
        </w:rPr>
      </w:pPr>
    </w:p>
    <w:p w14:paraId="1673A729" w14:textId="77777777" w:rsidR="00F13A4F" w:rsidRPr="00A92915" w:rsidRDefault="00F13A4F" w:rsidP="00F13A4F">
      <w:pPr>
        <w:spacing w:after="0" w:line="240" w:lineRule="auto"/>
        <w:jc w:val="both"/>
        <w:rPr>
          <w:rFonts w:asciiTheme="majorHAnsi" w:hAnsiTheme="majorHAnsi" w:cstheme="majorHAnsi"/>
        </w:rPr>
      </w:pPr>
      <w:r w:rsidRPr="00A92915">
        <w:rPr>
          <w:rFonts w:asciiTheme="majorHAnsi" w:hAnsiTheme="majorHAnsi" w:cstheme="majorHAnsi"/>
          <w:b/>
        </w:rPr>
        <w:t>Inertie du titulaire</w:t>
      </w:r>
      <w:r w:rsidRPr="00A92915">
        <w:rPr>
          <w:rFonts w:asciiTheme="majorHAnsi" w:hAnsiTheme="majorHAnsi" w:cstheme="majorHAnsi"/>
        </w:rPr>
        <w:t>. À défaut de réponse du titulaire dans ce délai ou si l’acheteur considère que les observations formulées par le titulaire ne permettent pas de démontrer que le retard n’est pas imputable à celui-ci ou à ses sous-traitants, les pénalités pour retard s’appliquent et sont calculées à compter du lendemain du jour où le délai contractuel d’exécution des prestations est expiré.</w:t>
      </w:r>
    </w:p>
    <w:p w14:paraId="6DE0920E" w14:textId="77777777" w:rsidR="00F13A4F" w:rsidRPr="00A92915" w:rsidRDefault="00F13A4F" w:rsidP="00F13A4F">
      <w:pPr>
        <w:spacing w:after="0" w:line="240" w:lineRule="auto"/>
        <w:jc w:val="both"/>
        <w:rPr>
          <w:rFonts w:asciiTheme="majorHAnsi" w:hAnsiTheme="majorHAnsi" w:cstheme="majorHAnsi"/>
        </w:rPr>
      </w:pPr>
    </w:p>
    <w:p w14:paraId="5B500BD6" w14:textId="1631D6AB" w:rsidR="00F13A4F" w:rsidRPr="00A92915" w:rsidRDefault="00F13A4F" w:rsidP="00F13A4F">
      <w:pPr>
        <w:spacing w:after="0" w:line="240" w:lineRule="auto"/>
        <w:jc w:val="both"/>
        <w:rPr>
          <w:rFonts w:asciiTheme="majorHAnsi" w:hAnsiTheme="majorHAnsi" w:cstheme="majorHAnsi"/>
        </w:rPr>
      </w:pPr>
      <w:r w:rsidRPr="00A92915">
        <w:rPr>
          <w:rFonts w:asciiTheme="majorHAnsi" w:hAnsiTheme="majorHAnsi" w:cstheme="majorHAnsi"/>
          <w:b/>
        </w:rPr>
        <w:t>Formule de calcul</w:t>
      </w:r>
      <w:r w:rsidRPr="00A92915">
        <w:rPr>
          <w:rFonts w:asciiTheme="majorHAnsi" w:hAnsiTheme="majorHAnsi" w:cstheme="majorHAnsi"/>
        </w:rPr>
        <w:t>. Cette pénalité est calculée par application de la formule suivante :</w:t>
      </w:r>
    </w:p>
    <w:p w14:paraId="11051220" w14:textId="77777777" w:rsidR="00060780" w:rsidRPr="00A92915" w:rsidRDefault="00060780" w:rsidP="00F13A4F">
      <w:pPr>
        <w:spacing w:after="0" w:line="240" w:lineRule="auto"/>
        <w:jc w:val="both"/>
        <w:rPr>
          <w:rFonts w:asciiTheme="majorHAnsi" w:hAnsiTheme="majorHAnsi" w:cstheme="majorHAnsi"/>
        </w:rPr>
      </w:pPr>
    </w:p>
    <w:p w14:paraId="23F22BF1" w14:textId="77777777" w:rsidR="00F13A4F" w:rsidRPr="00A92915" w:rsidRDefault="00F13A4F" w:rsidP="00F13A4F">
      <w:pPr>
        <w:spacing w:after="0" w:line="240" w:lineRule="auto"/>
        <w:jc w:val="center"/>
        <w:rPr>
          <w:rFonts w:asciiTheme="majorHAnsi" w:hAnsiTheme="majorHAnsi" w:cstheme="majorHAnsi"/>
          <w:b/>
        </w:rPr>
      </w:pPr>
      <w:r w:rsidRPr="00A92915">
        <w:rPr>
          <w:rFonts w:asciiTheme="majorHAnsi" w:hAnsiTheme="majorHAnsi" w:cstheme="majorHAnsi"/>
          <w:b/>
        </w:rPr>
        <w:t>P = V * R / 3 000</w:t>
      </w:r>
    </w:p>
    <w:p w14:paraId="1C8C805D" w14:textId="77777777" w:rsidR="00F13A4F" w:rsidRPr="00A92915" w:rsidRDefault="00F13A4F" w:rsidP="00F13A4F">
      <w:pPr>
        <w:spacing w:after="0" w:line="240" w:lineRule="auto"/>
        <w:jc w:val="both"/>
        <w:rPr>
          <w:rFonts w:asciiTheme="majorHAnsi" w:hAnsiTheme="majorHAnsi" w:cstheme="majorHAnsi"/>
        </w:rPr>
      </w:pPr>
      <w:r w:rsidRPr="00A92915">
        <w:rPr>
          <w:rFonts w:asciiTheme="majorHAnsi" w:hAnsiTheme="majorHAnsi" w:cstheme="majorHAnsi"/>
        </w:rPr>
        <w:t>dans laquelle :</w:t>
      </w:r>
    </w:p>
    <w:p w14:paraId="0EFCD98A" w14:textId="77777777" w:rsidR="00F13A4F" w:rsidRPr="00A92915" w:rsidRDefault="00F13A4F" w:rsidP="00F13A4F">
      <w:pPr>
        <w:spacing w:after="0" w:line="240" w:lineRule="auto"/>
        <w:jc w:val="both"/>
        <w:rPr>
          <w:rFonts w:asciiTheme="majorHAnsi" w:hAnsiTheme="majorHAnsi" w:cstheme="majorHAnsi"/>
        </w:rPr>
      </w:pPr>
      <w:r w:rsidRPr="00A92915">
        <w:rPr>
          <w:rFonts w:asciiTheme="majorHAnsi" w:hAnsiTheme="majorHAnsi" w:cstheme="majorHAnsi"/>
        </w:rPr>
        <w:t>P = le montant de la pénalité</w:t>
      </w:r>
    </w:p>
    <w:p w14:paraId="15322FF1" w14:textId="77777777" w:rsidR="00F13A4F" w:rsidRPr="00A92915" w:rsidRDefault="00F13A4F" w:rsidP="00F13A4F">
      <w:pPr>
        <w:spacing w:after="0" w:line="240" w:lineRule="auto"/>
        <w:jc w:val="both"/>
        <w:rPr>
          <w:rFonts w:asciiTheme="majorHAnsi" w:hAnsiTheme="majorHAnsi" w:cstheme="majorHAnsi"/>
        </w:rPr>
      </w:pPr>
      <w:r w:rsidRPr="00A92915">
        <w:rPr>
          <w:rFonts w:asciiTheme="majorHAnsi" w:hAnsiTheme="majorHAnsi" w:cstheme="majorHAnsi"/>
        </w:rPr>
        <w:t>V = la valeur des prestations sur laquelle est calculée la pénalité, cette valeur étant égale au montant en prix de base, hors variations de prix et hors du champ d’application de la TVA, de la partie des prestations en retard ou de l’ensemble des prestations, si le retard d’exécution d’une partie rend l’ensemble inutilisable</w:t>
      </w:r>
    </w:p>
    <w:p w14:paraId="4165FBDB" w14:textId="77777777" w:rsidR="00F13A4F" w:rsidRPr="00A92915" w:rsidRDefault="00F13A4F" w:rsidP="00F13A4F">
      <w:pPr>
        <w:spacing w:after="0" w:line="240" w:lineRule="auto"/>
        <w:jc w:val="both"/>
        <w:rPr>
          <w:rFonts w:asciiTheme="majorHAnsi" w:hAnsiTheme="majorHAnsi" w:cstheme="majorHAnsi"/>
        </w:rPr>
      </w:pPr>
      <w:r w:rsidRPr="00A92915">
        <w:rPr>
          <w:rFonts w:asciiTheme="majorHAnsi" w:hAnsiTheme="majorHAnsi" w:cstheme="majorHAnsi"/>
        </w:rPr>
        <w:t>R = le nombre de jours de retard</w:t>
      </w:r>
    </w:p>
    <w:p w14:paraId="007BC918" w14:textId="77777777" w:rsidR="00F13A4F" w:rsidRPr="00A92915" w:rsidRDefault="00F13A4F" w:rsidP="00F13A4F">
      <w:pPr>
        <w:spacing w:after="0" w:line="240" w:lineRule="auto"/>
        <w:jc w:val="both"/>
        <w:rPr>
          <w:rFonts w:asciiTheme="majorHAnsi" w:hAnsiTheme="majorHAnsi" w:cstheme="majorHAnsi"/>
        </w:rPr>
      </w:pPr>
    </w:p>
    <w:p w14:paraId="27DE4A9A" w14:textId="6D1297B6" w:rsidR="00F13A4F" w:rsidRPr="00A92915" w:rsidRDefault="00F13A4F" w:rsidP="00F13A4F">
      <w:pPr>
        <w:spacing w:after="0" w:line="240" w:lineRule="auto"/>
        <w:jc w:val="both"/>
        <w:rPr>
          <w:rFonts w:asciiTheme="majorHAnsi" w:hAnsiTheme="majorHAnsi" w:cstheme="majorHAnsi"/>
        </w:rPr>
      </w:pPr>
      <w:r w:rsidRPr="00A92915">
        <w:rPr>
          <w:rFonts w:asciiTheme="majorHAnsi" w:hAnsiTheme="majorHAnsi" w:cstheme="majorHAnsi"/>
          <w:b/>
        </w:rPr>
        <w:t>Plafond de pénalités</w:t>
      </w:r>
      <w:r w:rsidRPr="00A92915">
        <w:rPr>
          <w:rFonts w:asciiTheme="majorHAnsi" w:hAnsiTheme="majorHAnsi" w:cstheme="majorHAnsi"/>
        </w:rPr>
        <w:t>. Le montant total des pénalités de retard ne peut excéder 10% du montant total hors taxes du m</w:t>
      </w:r>
      <w:r w:rsidR="00DE0AC5">
        <w:rPr>
          <w:rFonts w:asciiTheme="majorHAnsi" w:hAnsiTheme="majorHAnsi" w:cstheme="majorHAnsi"/>
        </w:rPr>
        <w:t>arché, de la tranche considérée.</w:t>
      </w:r>
    </w:p>
    <w:p w14:paraId="15E0C838" w14:textId="77777777" w:rsidR="00F13A4F" w:rsidRPr="00A92915" w:rsidRDefault="00F13A4F" w:rsidP="00F13A4F">
      <w:pPr>
        <w:spacing w:after="0" w:line="240" w:lineRule="auto"/>
        <w:jc w:val="both"/>
        <w:rPr>
          <w:rFonts w:asciiTheme="majorHAnsi" w:hAnsiTheme="majorHAnsi" w:cstheme="majorHAnsi"/>
        </w:rPr>
      </w:pPr>
    </w:p>
    <w:p w14:paraId="6B6DDC41" w14:textId="7CE0C047" w:rsidR="00F13A4F" w:rsidRPr="00A92915" w:rsidRDefault="00F13A4F" w:rsidP="00F13A4F">
      <w:pPr>
        <w:spacing w:after="0" w:line="240" w:lineRule="auto"/>
        <w:jc w:val="both"/>
        <w:rPr>
          <w:rFonts w:asciiTheme="majorHAnsi" w:hAnsiTheme="majorHAnsi" w:cstheme="majorHAnsi"/>
        </w:rPr>
      </w:pPr>
      <w:r w:rsidRPr="00A92915">
        <w:rPr>
          <w:rFonts w:asciiTheme="majorHAnsi" w:hAnsiTheme="majorHAnsi" w:cstheme="majorHAnsi"/>
          <w:b/>
        </w:rPr>
        <w:t>Seuil de pénalités.</w:t>
      </w:r>
      <w:r w:rsidRPr="00A92915">
        <w:rPr>
          <w:rFonts w:asciiTheme="majorHAnsi" w:hAnsiTheme="majorHAnsi" w:cstheme="majorHAnsi"/>
        </w:rPr>
        <w:t xml:space="preserve"> Le titulaire est exonéré des pénalités dont le montant total ne dépasse pas</w:t>
      </w:r>
      <w:r w:rsidR="00B237B8" w:rsidRPr="00A92915">
        <w:rPr>
          <w:rFonts w:asciiTheme="majorHAnsi" w:hAnsiTheme="majorHAnsi" w:cstheme="majorHAnsi"/>
        </w:rPr>
        <w:t xml:space="preserve"> </w:t>
      </w:r>
      <w:r w:rsidRPr="00A92915">
        <w:rPr>
          <w:rFonts w:asciiTheme="majorHAnsi" w:hAnsiTheme="majorHAnsi" w:cstheme="majorHAnsi"/>
        </w:rPr>
        <w:t>1</w:t>
      </w:r>
      <w:r w:rsidR="00DE0AC5">
        <w:rPr>
          <w:rFonts w:asciiTheme="majorHAnsi" w:hAnsiTheme="majorHAnsi" w:cstheme="majorHAnsi"/>
        </w:rPr>
        <w:t> </w:t>
      </w:r>
      <w:r w:rsidRPr="00A92915">
        <w:rPr>
          <w:rFonts w:asciiTheme="majorHAnsi" w:hAnsiTheme="majorHAnsi" w:cstheme="majorHAnsi"/>
        </w:rPr>
        <w:t>000</w:t>
      </w:r>
      <w:r w:rsidR="00DE0AC5">
        <w:rPr>
          <w:rFonts w:asciiTheme="majorHAnsi" w:hAnsiTheme="majorHAnsi" w:cstheme="majorHAnsi"/>
        </w:rPr>
        <w:t> </w:t>
      </w:r>
      <w:r w:rsidRPr="00A92915">
        <w:rPr>
          <w:rFonts w:asciiTheme="majorHAnsi" w:hAnsiTheme="majorHAnsi" w:cstheme="majorHAnsi"/>
        </w:rPr>
        <w:t xml:space="preserve">€ pour l’ensemble du marché. </w:t>
      </w:r>
    </w:p>
    <w:p w14:paraId="6E6FA5A5" w14:textId="77FB4A52" w:rsidR="00F13A4F" w:rsidRDefault="00F13A4F" w:rsidP="00F13A4F">
      <w:pPr>
        <w:spacing w:after="0" w:line="240" w:lineRule="auto"/>
        <w:jc w:val="both"/>
      </w:pPr>
    </w:p>
    <w:p w14:paraId="7E5F1762" w14:textId="77777777" w:rsidR="00DE0AC5" w:rsidRPr="00F13A4F" w:rsidRDefault="00DE0AC5" w:rsidP="00F13A4F">
      <w:pPr>
        <w:spacing w:after="0" w:line="240" w:lineRule="auto"/>
        <w:jc w:val="both"/>
      </w:pPr>
    </w:p>
    <w:p w14:paraId="046A1F08" w14:textId="73917A2B" w:rsidR="00F13A4F" w:rsidRDefault="00F13A4F" w:rsidP="00F13A4F">
      <w:pPr>
        <w:pStyle w:val="Titre2"/>
      </w:pPr>
      <w:bookmarkStart w:id="25" w:name="_Toc135834147"/>
      <w:r>
        <w:t>III.3. Clause</w:t>
      </w:r>
      <w:r w:rsidR="00F72A3D">
        <w:t>s</w:t>
      </w:r>
      <w:r>
        <w:t xml:space="preserve"> de réexamen</w:t>
      </w:r>
      <w:bookmarkEnd w:id="25"/>
    </w:p>
    <w:p w14:paraId="76352BC7" w14:textId="77777777" w:rsidR="00F13A4F" w:rsidRPr="00A92915" w:rsidRDefault="00F13A4F" w:rsidP="00F13A4F">
      <w:pPr>
        <w:spacing w:after="0" w:line="240" w:lineRule="auto"/>
        <w:jc w:val="both"/>
        <w:rPr>
          <w:rFonts w:asciiTheme="majorHAnsi" w:hAnsiTheme="majorHAnsi" w:cstheme="majorHAnsi"/>
        </w:rPr>
      </w:pPr>
    </w:p>
    <w:p w14:paraId="2EF497B0" w14:textId="118F90D2" w:rsidR="00F13A4F" w:rsidRPr="00A92915" w:rsidRDefault="00F13A4F" w:rsidP="00F13A4F">
      <w:pPr>
        <w:spacing w:line="240" w:lineRule="auto"/>
        <w:jc w:val="both"/>
        <w:rPr>
          <w:rFonts w:asciiTheme="majorHAnsi" w:hAnsiTheme="majorHAnsi" w:cstheme="majorHAnsi"/>
        </w:rPr>
      </w:pPr>
      <w:r w:rsidRPr="00A92915">
        <w:rPr>
          <w:rFonts w:asciiTheme="majorHAnsi" w:hAnsiTheme="majorHAnsi" w:cstheme="majorHAnsi"/>
          <w:b/>
        </w:rPr>
        <w:t>Circonstances imprévues</w:t>
      </w:r>
      <w:r w:rsidRPr="00A92915">
        <w:rPr>
          <w:rFonts w:asciiTheme="majorHAnsi" w:hAnsiTheme="majorHAnsi" w:cstheme="majorHAnsi"/>
        </w:rPr>
        <w:t>. En cas de circonstance que des parties diligentes ne pouvaient prévoir dans sa nature ou dans son ampleur et modifiant de manière significative les conditions d’exécution du marché, les parties examinent de bonne foi les conséquences, notamment financières, de cette circonstance</w:t>
      </w:r>
      <w:r w:rsidR="00DE0AC5">
        <w:rPr>
          <w:rFonts w:asciiTheme="majorHAnsi" w:hAnsiTheme="majorHAnsi" w:cstheme="majorHAnsi"/>
        </w:rPr>
        <w:t xml:space="preserve"> dans un délai de 10 jours</w:t>
      </w:r>
      <w:r w:rsidRPr="00A92915">
        <w:rPr>
          <w:rFonts w:asciiTheme="majorHAnsi" w:hAnsiTheme="majorHAnsi" w:cstheme="majorHAnsi"/>
        </w:rPr>
        <w:t>.</w:t>
      </w:r>
    </w:p>
    <w:p w14:paraId="651E0B32" w14:textId="05B53A1E" w:rsidR="00F13A4F" w:rsidRPr="00A92915" w:rsidRDefault="00F13A4F" w:rsidP="00F13A4F">
      <w:pPr>
        <w:spacing w:after="0" w:line="240" w:lineRule="auto"/>
        <w:jc w:val="both"/>
        <w:rPr>
          <w:rFonts w:asciiTheme="majorHAnsi" w:hAnsiTheme="majorHAnsi" w:cstheme="majorHAnsi"/>
        </w:rPr>
      </w:pPr>
      <w:r w:rsidRPr="00A92915">
        <w:rPr>
          <w:rFonts w:asciiTheme="majorHAnsi" w:hAnsiTheme="majorHAnsi" w:cstheme="majorHAnsi"/>
          <w:b/>
        </w:rPr>
        <w:t>Avenant et prise en charge</w:t>
      </w:r>
      <w:r w:rsidRPr="00A92915">
        <w:rPr>
          <w:rFonts w:asciiTheme="majorHAnsi" w:hAnsiTheme="majorHAnsi" w:cstheme="majorHAnsi"/>
        </w:rPr>
        <w:t xml:space="preserve">. Le cas échéant, les parties conviennent, par avenant, </w:t>
      </w:r>
      <w:r w:rsidR="00DE0AC5">
        <w:rPr>
          <w:rFonts w:asciiTheme="majorHAnsi" w:hAnsiTheme="majorHAnsi" w:cstheme="majorHAnsi"/>
        </w:rPr>
        <w:t xml:space="preserve">dans un délai de 15 jours, </w:t>
      </w:r>
      <w:r w:rsidRPr="00A92915">
        <w:rPr>
          <w:rFonts w:asciiTheme="majorHAnsi" w:hAnsiTheme="majorHAnsi" w:cstheme="majorHAnsi"/>
        </w:rPr>
        <w:t>des modalités de prise en charge, totale ou partielle, des surcoûts directement induits par cette circonstance sur la base de justificatifs fournis par le titulaire. Il est tenu compte, notamment :</w:t>
      </w:r>
    </w:p>
    <w:p w14:paraId="4CA070EE" w14:textId="77777777" w:rsidR="00F13A4F" w:rsidRPr="00A92915" w:rsidRDefault="00F13A4F" w:rsidP="00F13A4F">
      <w:pPr>
        <w:spacing w:after="0" w:line="240" w:lineRule="auto"/>
        <w:jc w:val="both"/>
        <w:rPr>
          <w:rFonts w:asciiTheme="majorHAnsi" w:hAnsiTheme="majorHAnsi" w:cstheme="majorHAnsi"/>
        </w:rPr>
      </w:pPr>
      <w:r w:rsidRPr="00A92915">
        <w:rPr>
          <w:rFonts w:asciiTheme="majorHAnsi" w:hAnsiTheme="majorHAnsi" w:cstheme="majorHAnsi"/>
        </w:rPr>
        <w:t>– des surcoûts liés aux modifications d’exécution des prestations ;</w:t>
      </w:r>
    </w:p>
    <w:p w14:paraId="4219264A" w14:textId="77777777" w:rsidR="00F13A4F" w:rsidRPr="00A92915" w:rsidRDefault="00F13A4F" w:rsidP="00F13A4F">
      <w:pPr>
        <w:spacing w:line="240" w:lineRule="auto"/>
        <w:jc w:val="both"/>
        <w:rPr>
          <w:rFonts w:asciiTheme="majorHAnsi" w:hAnsiTheme="majorHAnsi" w:cstheme="majorHAnsi"/>
        </w:rPr>
      </w:pPr>
      <w:r w:rsidRPr="00A92915">
        <w:rPr>
          <w:rFonts w:asciiTheme="majorHAnsi" w:hAnsiTheme="majorHAnsi" w:cstheme="majorHAnsi"/>
        </w:rPr>
        <w:t>– des conséquences liées à la prolongation des délais d’exécution du marché.</w:t>
      </w:r>
    </w:p>
    <w:p w14:paraId="503F1CC7" w14:textId="35DAFE04" w:rsidR="00F13A4F" w:rsidRPr="00A92915" w:rsidRDefault="00F13A4F" w:rsidP="00124D27">
      <w:pPr>
        <w:spacing w:after="0" w:line="240" w:lineRule="auto"/>
        <w:jc w:val="both"/>
        <w:rPr>
          <w:rFonts w:asciiTheme="majorHAnsi" w:hAnsiTheme="majorHAnsi" w:cstheme="majorHAnsi"/>
        </w:rPr>
      </w:pPr>
      <w:r w:rsidRPr="00A92915">
        <w:rPr>
          <w:rFonts w:asciiTheme="majorHAnsi" w:hAnsiTheme="majorHAnsi" w:cstheme="majorHAnsi"/>
          <w:b/>
        </w:rPr>
        <w:t>Constatations contradictoires</w:t>
      </w:r>
      <w:r w:rsidRPr="00A92915">
        <w:rPr>
          <w:rFonts w:asciiTheme="majorHAnsi" w:hAnsiTheme="majorHAnsi" w:cstheme="majorHAnsi"/>
        </w:rPr>
        <w:t>. Le titulaire est tenu de demander, en temps utile, qu’il soit procédé à des constatations contradictoires pour permettre à l’acheteur d’évaluer les moyens supplémentaires effectivement mis en œuvre.</w:t>
      </w:r>
    </w:p>
    <w:p w14:paraId="2D4FA54A" w14:textId="6384C672" w:rsidR="00724B2D" w:rsidRPr="00A92915" w:rsidRDefault="00724B2D" w:rsidP="00124D27">
      <w:pPr>
        <w:spacing w:after="0" w:line="240" w:lineRule="auto"/>
        <w:jc w:val="both"/>
        <w:rPr>
          <w:rFonts w:asciiTheme="majorHAnsi" w:hAnsiTheme="majorHAnsi" w:cstheme="majorHAnsi"/>
        </w:rPr>
      </w:pPr>
    </w:p>
    <w:p w14:paraId="20E0A296" w14:textId="428C85E2" w:rsidR="00724B2D" w:rsidRPr="00A92915" w:rsidRDefault="00724B2D" w:rsidP="00124D27">
      <w:pPr>
        <w:spacing w:after="0" w:line="240" w:lineRule="auto"/>
        <w:jc w:val="both"/>
        <w:rPr>
          <w:rFonts w:asciiTheme="majorHAnsi" w:hAnsiTheme="majorHAnsi" w:cstheme="majorHAnsi"/>
        </w:rPr>
      </w:pPr>
      <w:bookmarkStart w:id="26" w:name="_GoBack"/>
      <w:bookmarkEnd w:id="26"/>
      <w:r w:rsidRPr="00A92915">
        <w:rPr>
          <w:rFonts w:asciiTheme="majorHAnsi" w:hAnsiTheme="majorHAnsi" w:cstheme="majorHAnsi"/>
          <w:b/>
        </w:rPr>
        <w:t xml:space="preserve">Production supplémentaire de livrables. </w:t>
      </w:r>
      <w:r w:rsidR="00F72A3D" w:rsidRPr="00A92915">
        <w:rPr>
          <w:rFonts w:asciiTheme="majorHAnsi" w:hAnsiTheme="majorHAnsi" w:cstheme="majorHAnsi"/>
        </w:rPr>
        <w:t>L’acheteur, peut, en cours d’exécution du marché,</w:t>
      </w:r>
      <w:r w:rsidR="00F72A3D" w:rsidRPr="00A92915">
        <w:rPr>
          <w:rFonts w:asciiTheme="majorHAnsi" w:hAnsiTheme="majorHAnsi" w:cstheme="majorHAnsi"/>
          <w:b/>
        </w:rPr>
        <w:t xml:space="preserve"> </w:t>
      </w:r>
      <w:r w:rsidR="00F72A3D" w:rsidRPr="00A92915">
        <w:rPr>
          <w:rFonts w:asciiTheme="majorHAnsi" w:hAnsiTheme="majorHAnsi" w:cstheme="majorHAnsi"/>
        </w:rPr>
        <w:t>demander la production de livrables supplémentaires</w:t>
      </w:r>
      <w:r w:rsidR="00A13CD4" w:rsidRPr="00A92915">
        <w:rPr>
          <w:rFonts w:asciiTheme="majorHAnsi" w:hAnsiTheme="majorHAnsi" w:cstheme="majorHAnsi"/>
        </w:rPr>
        <w:t xml:space="preserve"> dans le cadre de la démarche participative et de la communication. </w:t>
      </w:r>
    </w:p>
    <w:p w14:paraId="23F9190D" w14:textId="2642DB6B" w:rsidR="00A13CD4" w:rsidRPr="00A92915" w:rsidRDefault="00A13CD4" w:rsidP="00124D27">
      <w:pPr>
        <w:spacing w:after="0" w:line="240" w:lineRule="auto"/>
        <w:jc w:val="both"/>
        <w:rPr>
          <w:rFonts w:asciiTheme="majorHAnsi" w:hAnsiTheme="majorHAnsi" w:cstheme="majorHAnsi"/>
        </w:rPr>
      </w:pPr>
    </w:p>
    <w:p w14:paraId="6DE86D96" w14:textId="0D3125CA" w:rsidR="00A13CD4" w:rsidRPr="00A92915" w:rsidRDefault="00A13CD4" w:rsidP="00124D27">
      <w:pPr>
        <w:spacing w:after="0" w:line="240" w:lineRule="auto"/>
        <w:jc w:val="both"/>
        <w:rPr>
          <w:rFonts w:asciiTheme="majorHAnsi" w:hAnsiTheme="majorHAnsi" w:cstheme="majorHAnsi"/>
        </w:rPr>
      </w:pPr>
      <w:r w:rsidRPr="00A92915">
        <w:rPr>
          <w:rFonts w:asciiTheme="majorHAnsi" w:hAnsiTheme="majorHAnsi" w:cstheme="majorHAnsi"/>
        </w:rPr>
        <w:t xml:space="preserve">L’acheteur transmet sa demande par écrit au titulaire, qui a </w:t>
      </w:r>
      <w:r w:rsidRPr="00A92915">
        <w:rPr>
          <w:rFonts w:asciiTheme="majorHAnsi" w:hAnsiTheme="majorHAnsi" w:cstheme="majorHAnsi"/>
          <w:b/>
        </w:rPr>
        <w:t>7 jours</w:t>
      </w:r>
      <w:r w:rsidRPr="00A92915">
        <w:rPr>
          <w:rFonts w:asciiTheme="majorHAnsi" w:hAnsiTheme="majorHAnsi" w:cstheme="majorHAnsi"/>
        </w:rPr>
        <w:t xml:space="preserve"> pour lui faire sa proposition technique et chiffrée.</w:t>
      </w:r>
    </w:p>
    <w:p w14:paraId="318368D0" w14:textId="1958B068" w:rsidR="00A13CD4" w:rsidRPr="00A92915" w:rsidRDefault="00A13CD4" w:rsidP="00124D27">
      <w:pPr>
        <w:spacing w:after="0" w:line="240" w:lineRule="auto"/>
        <w:jc w:val="both"/>
        <w:rPr>
          <w:rFonts w:asciiTheme="majorHAnsi" w:hAnsiTheme="majorHAnsi" w:cstheme="majorHAnsi"/>
        </w:rPr>
      </w:pPr>
    </w:p>
    <w:p w14:paraId="7A744C23" w14:textId="26E72BB4" w:rsidR="00A13CD4" w:rsidRPr="00A92915" w:rsidRDefault="00A13CD4" w:rsidP="00124D27">
      <w:pPr>
        <w:spacing w:after="0" w:line="240" w:lineRule="auto"/>
        <w:jc w:val="both"/>
        <w:rPr>
          <w:rFonts w:asciiTheme="majorHAnsi" w:hAnsiTheme="majorHAnsi" w:cstheme="majorHAnsi"/>
        </w:rPr>
      </w:pPr>
      <w:r w:rsidRPr="00A92915">
        <w:rPr>
          <w:rFonts w:asciiTheme="majorHAnsi" w:hAnsiTheme="majorHAnsi" w:cstheme="majorHAnsi"/>
        </w:rPr>
        <w:t xml:space="preserve">L’acheteur a </w:t>
      </w:r>
      <w:r w:rsidRPr="00A92915">
        <w:rPr>
          <w:rFonts w:asciiTheme="majorHAnsi" w:hAnsiTheme="majorHAnsi" w:cstheme="majorHAnsi"/>
          <w:b/>
        </w:rPr>
        <w:t>2 jours</w:t>
      </w:r>
      <w:r w:rsidRPr="00A92915">
        <w:rPr>
          <w:rFonts w:asciiTheme="majorHAnsi" w:hAnsiTheme="majorHAnsi" w:cstheme="majorHAnsi"/>
        </w:rPr>
        <w:t xml:space="preserve"> pour accepter ou refuser la proposition</w:t>
      </w:r>
      <w:r w:rsidR="0014531B" w:rsidRPr="00A92915">
        <w:rPr>
          <w:rFonts w:asciiTheme="majorHAnsi" w:hAnsiTheme="majorHAnsi" w:cstheme="majorHAnsi"/>
        </w:rPr>
        <w:t>. Passé ce délai, elle</w:t>
      </w:r>
      <w:r w:rsidRPr="00A92915">
        <w:rPr>
          <w:rFonts w:asciiTheme="majorHAnsi" w:hAnsiTheme="majorHAnsi" w:cstheme="majorHAnsi"/>
        </w:rPr>
        <w:t xml:space="preserve"> est réputée </w:t>
      </w:r>
      <w:r w:rsidR="0014531B" w:rsidRPr="00A92915">
        <w:rPr>
          <w:rFonts w:asciiTheme="majorHAnsi" w:hAnsiTheme="majorHAnsi" w:cstheme="majorHAnsi"/>
        </w:rPr>
        <w:t>acceptée.</w:t>
      </w:r>
    </w:p>
    <w:p w14:paraId="2831FB4D" w14:textId="208285B4" w:rsidR="00A13CD4" w:rsidRPr="00A92915" w:rsidRDefault="00A13CD4" w:rsidP="00124D27">
      <w:pPr>
        <w:spacing w:after="0" w:line="240" w:lineRule="auto"/>
        <w:jc w:val="both"/>
        <w:rPr>
          <w:rFonts w:asciiTheme="majorHAnsi" w:hAnsiTheme="majorHAnsi" w:cstheme="majorHAnsi"/>
        </w:rPr>
      </w:pPr>
    </w:p>
    <w:p w14:paraId="4A4FFDDE" w14:textId="59F703CD" w:rsidR="00A13CD4" w:rsidRPr="00A92915" w:rsidRDefault="00A13CD4" w:rsidP="00124D27">
      <w:pPr>
        <w:spacing w:after="0" w:line="240" w:lineRule="auto"/>
        <w:jc w:val="both"/>
        <w:rPr>
          <w:rFonts w:asciiTheme="majorHAnsi" w:hAnsiTheme="majorHAnsi" w:cstheme="majorHAnsi"/>
        </w:rPr>
      </w:pPr>
      <w:r w:rsidRPr="00A92915">
        <w:rPr>
          <w:rFonts w:asciiTheme="majorHAnsi" w:hAnsiTheme="majorHAnsi" w:cstheme="majorHAnsi"/>
        </w:rPr>
        <w:t>À défaut</w:t>
      </w:r>
      <w:r w:rsidR="0014531B" w:rsidRPr="00A92915">
        <w:rPr>
          <w:rFonts w:asciiTheme="majorHAnsi" w:hAnsiTheme="majorHAnsi" w:cstheme="majorHAnsi"/>
        </w:rPr>
        <w:t xml:space="preserve"> de réponse du titulaire</w:t>
      </w:r>
      <w:r w:rsidRPr="00A92915">
        <w:rPr>
          <w:rFonts w:asciiTheme="majorHAnsi" w:hAnsiTheme="majorHAnsi" w:cstheme="majorHAnsi"/>
        </w:rPr>
        <w:t>, l’acheteur pourra demander à un tiers la fourniture de ces productions.</w:t>
      </w:r>
    </w:p>
    <w:p w14:paraId="52952B39" w14:textId="77777777" w:rsidR="00124D27" w:rsidRPr="00A92915" w:rsidRDefault="00124D27" w:rsidP="00124D27">
      <w:pPr>
        <w:spacing w:after="0" w:line="240" w:lineRule="auto"/>
        <w:jc w:val="both"/>
        <w:rPr>
          <w:rFonts w:asciiTheme="majorHAnsi" w:hAnsiTheme="majorHAnsi" w:cstheme="majorHAnsi"/>
        </w:rPr>
      </w:pPr>
    </w:p>
    <w:p w14:paraId="35FED28C" w14:textId="43D35033" w:rsidR="00124D27" w:rsidRDefault="00124D27" w:rsidP="00124D27">
      <w:pPr>
        <w:pStyle w:val="Titre2"/>
      </w:pPr>
      <w:bookmarkStart w:id="27" w:name="_Toc135834148"/>
      <w:r>
        <w:t>III.5. Constatation de l’exécution des prestations</w:t>
      </w:r>
      <w:bookmarkEnd w:id="27"/>
    </w:p>
    <w:p w14:paraId="0BE0047A" w14:textId="77777777" w:rsidR="00124D27" w:rsidRPr="00A92915" w:rsidRDefault="00124D27" w:rsidP="00124D27">
      <w:pPr>
        <w:spacing w:after="0" w:line="240" w:lineRule="auto"/>
        <w:jc w:val="both"/>
        <w:rPr>
          <w:rFonts w:asciiTheme="majorHAnsi" w:hAnsiTheme="majorHAnsi" w:cstheme="majorHAnsi"/>
        </w:rPr>
      </w:pPr>
    </w:p>
    <w:p w14:paraId="7B43C54B" w14:textId="617EA2AF" w:rsidR="00124D27" w:rsidRPr="00A92915" w:rsidRDefault="00124D27" w:rsidP="00124D27">
      <w:pPr>
        <w:spacing w:line="240" w:lineRule="auto"/>
        <w:jc w:val="both"/>
        <w:rPr>
          <w:rFonts w:asciiTheme="majorHAnsi" w:hAnsiTheme="majorHAnsi" w:cstheme="majorHAnsi"/>
        </w:rPr>
      </w:pPr>
      <w:r w:rsidRPr="00A92915">
        <w:rPr>
          <w:rFonts w:asciiTheme="majorHAnsi" w:hAnsiTheme="majorHAnsi" w:cstheme="majorHAnsi"/>
          <w:b/>
        </w:rPr>
        <w:t>Délai de vérification</w:t>
      </w:r>
      <w:r w:rsidRPr="00A92915">
        <w:rPr>
          <w:rFonts w:asciiTheme="majorHAnsi" w:hAnsiTheme="majorHAnsi" w:cstheme="majorHAnsi"/>
        </w:rPr>
        <w:t xml:space="preserve">. L’acheteur dispose d’un délai de </w:t>
      </w:r>
      <w:r w:rsidR="000D1D5B" w:rsidRPr="00A92915">
        <w:rPr>
          <w:rFonts w:asciiTheme="majorHAnsi" w:hAnsiTheme="majorHAnsi" w:cstheme="majorHAnsi"/>
          <w:b/>
        </w:rPr>
        <w:t>2</w:t>
      </w:r>
      <w:r w:rsidRPr="00A92915">
        <w:rPr>
          <w:rFonts w:asciiTheme="majorHAnsi" w:hAnsiTheme="majorHAnsi" w:cstheme="majorHAnsi"/>
          <w:b/>
        </w:rPr>
        <w:t xml:space="preserve"> mois</w:t>
      </w:r>
      <w:r w:rsidRPr="00A92915">
        <w:rPr>
          <w:rFonts w:asciiTheme="majorHAnsi" w:hAnsiTheme="majorHAnsi" w:cstheme="majorHAnsi"/>
          <w:i/>
        </w:rPr>
        <w:t xml:space="preserve"> </w:t>
      </w:r>
      <w:r w:rsidRPr="00A92915">
        <w:rPr>
          <w:rFonts w:asciiTheme="majorHAnsi" w:hAnsiTheme="majorHAnsi" w:cstheme="majorHAnsi"/>
        </w:rPr>
        <w:t>pour procéder aux vérifications et notifier sa décision d’admission, d’ajournement, d’admission avec réfaction ou de rejet.</w:t>
      </w:r>
    </w:p>
    <w:p w14:paraId="595E6F8D" w14:textId="4BD3F299" w:rsidR="00124D27" w:rsidRPr="00A92915" w:rsidRDefault="00124D27" w:rsidP="00124D27">
      <w:pPr>
        <w:spacing w:after="0" w:line="240" w:lineRule="auto"/>
        <w:jc w:val="both"/>
        <w:rPr>
          <w:rFonts w:asciiTheme="majorHAnsi" w:hAnsiTheme="majorHAnsi" w:cstheme="majorHAnsi"/>
        </w:rPr>
      </w:pPr>
      <w:r w:rsidRPr="00A92915">
        <w:rPr>
          <w:rFonts w:asciiTheme="majorHAnsi" w:hAnsiTheme="majorHAnsi" w:cstheme="majorHAnsi"/>
          <w:b/>
        </w:rPr>
        <w:t>Information du titulaire</w:t>
      </w:r>
      <w:r w:rsidRPr="00A92915">
        <w:rPr>
          <w:rFonts w:asciiTheme="majorHAnsi" w:hAnsiTheme="majorHAnsi" w:cstheme="majorHAnsi"/>
        </w:rPr>
        <w:t xml:space="preserve">. Le titulaire avise l’acheteur de la date à partir de laquelle les prestations pourront être présentées en vue de ces vérifications. </w:t>
      </w:r>
    </w:p>
    <w:p w14:paraId="36A719B0" w14:textId="77777777" w:rsidR="006D3387" w:rsidRPr="00E20C50" w:rsidRDefault="006D3387" w:rsidP="006D3387">
      <w:pPr>
        <w:spacing w:line="240" w:lineRule="auto"/>
        <w:jc w:val="both"/>
        <w:rPr>
          <w:rFonts w:asciiTheme="majorHAnsi" w:hAnsiTheme="majorHAnsi" w:cstheme="majorHAnsi"/>
        </w:rPr>
      </w:pPr>
    </w:p>
    <w:p w14:paraId="43914EC7" w14:textId="668185D7" w:rsidR="006D3387" w:rsidRPr="00B378EA" w:rsidRDefault="006D3387" w:rsidP="006D3387">
      <w:pPr>
        <w:pStyle w:val="Titre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jc w:val="both"/>
        <w:rPr>
          <w:rFonts w:asciiTheme="minorHAnsi" w:hAnsiTheme="minorHAnsi"/>
        </w:rPr>
      </w:pPr>
      <w:bookmarkStart w:id="28" w:name="_Toc135834149"/>
      <w:r w:rsidRPr="00B378EA">
        <w:rPr>
          <w:rFonts w:asciiTheme="minorHAnsi" w:hAnsiTheme="minorHAnsi"/>
        </w:rPr>
        <w:t>I</w:t>
      </w:r>
      <w:r>
        <w:rPr>
          <w:rFonts w:asciiTheme="minorHAnsi" w:hAnsiTheme="minorHAnsi"/>
        </w:rPr>
        <w:t>V.</w:t>
      </w:r>
      <w:r w:rsidRPr="00B378EA">
        <w:rPr>
          <w:rFonts w:asciiTheme="minorHAnsi" w:hAnsiTheme="minorHAnsi"/>
        </w:rPr>
        <w:t xml:space="preserve"> </w:t>
      </w:r>
      <w:r>
        <w:rPr>
          <w:rFonts w:asciiTheme="minorHAnsi" w:hAnsiTheme="minorHAnsi"/>
        </w:rPr>
        <w:t>RESILIATION</w:t>
      </w:r>
      <w:bookmarkEnd w:id="28"/>
    </w:p>
    <w:p w14:paraId="538D521E" w14:textId="4E9F8180" w:rsidR="006D3387" w:rsidRDefault="006D3387" w:rsidP="006D3387">
      <w:pPr>
        <w:pStyle w:val="Titre2"/>
      </w:pPr>
    </w:p>
    <w:p w14:paraId="761D809A" w14:textId="561A5EB0" w:rsidR="006D3387" w:rsidRPr="00A92915" w:rsidRDefault="006D3387" w:rsidP="00DE788C">
      <w:pPr>
        <w:spacing w:after="0" w:line="240" w:lineRule="auto"/>
        <w:jc w:val="both"/>
        <w:rPr>
          <w:rFonts w:asciiTheme="majorHAnsi" w:hAnsiTheme="majorHAnsi" w:cstheme="majorHAnsi"/>
        </w:rPr>
      </w:pPr>
      <w:r w:rsidRPr="00A92915">
        <w:rPr>
          <w:rFonts w:asciiTheme="majorHAnsi" w:hAnsiTheme="majorHAnsi" w:cstheme="majorHAnsi"/>
        </w:rPr>
        <w:t>Les modalités de résiliation du marché sont celles prévues au chapitre 7 du CCAG PI 2021.</w:t>
      </w:r>
    </w:p>
    <w:sectPr w:rsidR="006D3387" w:rsidRPr="00A92915" w:rsidSect="005F6B4E">
      <w:footerReference w:type="default" r:id="rId11"/>
      <w:footerReference w:type="first" r:id="rId12"/>
      <w:type w:val="continuous"/>
      <w:pgSz w:w="11906" w:h="16838"/>
      <w:pgMar w:top="709" w:right="170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20344" w14:textId="77777777" w:rsidR="00E63F7F" w:rsidRDefault="00E63F7F" w:rsidP="009166FD">
      <w:pPr>
        <w:spacing w:after="0" w:line="240" w:lineRule="auto"/>
      </w:pPr>
      <w:r>
        <w:separator/>
      </w:r>
    </w:p>
  </w:endnote>
  <w:endnote w:type="continuationSeparator" w:id="0">
    <w:p w14:paraId="60C027D2" w14:textId="77777777" w:rsidR="00E63F7F" w:rsidRDefault="00E63F7F" w:rsidP="0091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cs="Calibri Light"/>
        <w:sz w:val="18"/>
        <w:szCs w:val="18"/>
      </w:rPr>
      <w:id w:val="-2048438920"/>
      <w:docPartObj>
        <w:docPartGallery w:val="Page Numbers (Bottom of Page)"/>
        <w:docPartUnique/>
      </w:docPartObj>
    </w:sdtPr>
    <w:sdtEndPr/>
    <w:sdtContent>
      <w:p w14:paraId="282CD40E" w14:textId="5F0CA381" w:rsidR="006802A6" w:rsidRPr="005F6B4E" w:rsidRDefault="00923CC4" w:rsidP="001D3438">
        <w:pPr>
          <w:pStyle w:val="Pieddepage"/>
          <w:rPr>
            <w:rFonts w:ascii="Calibri Light" w:hAnsi="Calibri Light" w:cs="Calibri Light"/>
            <w:sz w:val="18"/>
            <w:szCs w:val="18"/>
          </w:rPr>
        </w:pPr>
        <w:r w:rsidRPr="005F6B4E">
          <w:rPr>
            <w:rFonts w:ascii="Calibri Light" w:hAnsi="Calibri Light" w:cs="Calibri Light"/>
            <w:sz w:val="20"/>
            <w:szCs w:val="20"/>
          </w:rPr>
          <w:t>CCTP AMO Construction d’un nouvel équipement polyvalent – Eppe-Sauvage</w:t>
        </w:r>
        <w:r w:rsidR="005F6B4E" w:rsidRPr="005F6B4E">
          <w:rPr>
            <w:rFonts w:ascii="Calibri Light" w:hAnsi="Calibri Light" w:cs="Calibri Light"/>
            <w:sz w:val="20"/>
            <w:szCs w:val="20"/>
          </w:rPr>
          <w:t xml:space="preserve"> </w:t>
        </w:r>
        <w:r w:rsidR="005F6B4E" w:rsidRPr="005F6B4E">
          <w:rPr>
            <w:rFonts w:ascii="Calibri Light" w:hAnsi="Calibri Light" w:cs="Calibri Light"/>
            <w:sz w:val="20"/>
            <w:szCs w:val="20"/>
          </w:rPr>
          <w:tab/>
        </w:r>
        <w:r w:rsidR="005F6B4E">
          <w:rPr>
            <w:rFonts w:ascii="Calibri Light" w:hAnsi="Calibri Light" w:cs="Calibri Light"/>
            <w:sz w:val="20"/>
            <w:szCs w:val="20"/>
          </w:rPr>
          <w:t>p</w:t>
        </w:r>
        <w:r w:rsidR="005F6B4E" w:rsidRPr="005F6B4E">
          <w:rPr>
            <w:rFonts w:ascii="Calibri Light" w:hAnsi="Calibri Light" w:cs="Calibri Light"/>
            <w:sz w:val="20"/>
            <w:szCs w:val="20"/>
          </w:rPr>
          <w:t xml:space="preserve">age </w:t>
        </w:r>
        <w:r w:rsidR="005F6B4E" w:rsidRPr="005F6B4E">
          <w:rPr>
            <w:rFonts w:ascii="Calibri Light" w:hAnsi="Calibri Light" w:cs="Calibri Light"/>
            <w:b/>
            <w:bCs/>
            <w:sz w:val="20"/>
            <w:szCs w:val="20"/>
          </w:rPr>
          <w:fldChar w:fldCharType="begin"/>
        </w:r>
        <w:r w:rsidR="005F6B4E" w:rsidRPr="005F6B4E">
          <w:rPr>
            <w:rFonts w:ascii="Calibri Light" w:hAnsi="Calibri Light" w:cs="Calibri Light"/>
            <w:b/>
            <w:bCs/>
            <w:sz w:val="20"/>
            <w:szCs w:val="20"/>
          </w:rPr>
          <w:instrText>PAGE  \* Arabic  \* MERGEFORMAT</w:instrText>
        </w:r>
        <w:r w:rsidR="005F6B4E" w:rsidRPr="005F6B4E">
          <w:rPr>
            <w:rFonts w:ascii="Calibri Light" w:hAnsi="Calibri Light" w:cs="Calibri Light"/>
            <w:b/>
            <w:bCs/>
            <w:sz w:val="20"/>
            <w:szCs w:val="20"/>
          </w:rPr>
          <w:fldChar w:fldCharType="separate"/>
        </w:r>
        <w:r w:rsidR="00DE0AC5">
          <w:rPr>
            <w:rFonts w:ascii="Calibri Light" w:hAnsi="Calibri Light" w:cs="Calibri Light"/>
            <w:b/>
            <w:bCs/>
            <w:noProof/>
            <w:sz w:val="20"/>
            <w:szCs w:val="20"/>
          </w:rPr>
          <w:t>7</w:t>
        </w:r>
        <w:r w:rsidR="005F6B4E" w:rsidRPr="005F6B4E">
          <w:rPr>
            <w:rFonts w:ascii="Calibri Light" w:hAnsi="Calibri Light" w:cs="Calibri Light"/>
            <w:b/>
            <w:bCs/>
            <w:sz w:val="20"/>
            <w:szCs w:val="20"/>
          </w:rPr>
          <w:fldChar w:fldCharType="end"/>
        </w:r>
        <w:r w:rsidR="005F6B4E" w:rsidRPr="005F6B4E">
          <w:rPr>
            <w:rFonts w:ascii="Calibri Light" w:hAnsi="Calibri Light" w:cs="Calibri Light"/>
            <w:sz w:val="20"/>
            <w:szCs w:val="20"/>
          </w:rPr>
          <w:t xml:space="preserve"> sur </w:t>
        </w:r>
        <w:r w:rsidR="005F6B4E" w:rsidRPr="005F6B4E">
          <w:rPr>
            <w:rFonts w:ascii="Calibri Light" w:hAnsi="Calibri Light" w:cs="Calibri Light"/>
            <w:b/>
            <w:bCs/>
            <w:sz w:val="20"/>
            <w:szCs w:val="20"/>
          </w:rPr>
          <w:fldChar w:fldCharType="begin"/>
        </w:r>
        <w:r w:rsidR="005F6B4E" w:rsidRPr="005F6B4E">
          <w:rPr>
            <w:rFonts w:ascii="Calibri Light" w:hAnsi="Calibri Light" w:cs="Calibri Light"/>
            <w:b/>
            <w:bCs/>
            <w:sz w:val="20"/>
            <w:szCs w:val="20"/>
          </w:rPr>
          <w:instrText>NUMPAGES  \* Arabic  \* MERGEFORMAT</w:instrText>
        </w:r>
        <w:r w:rsidR="005F6B4E" w:rsidRPr="005F6B4E">
          <w:rPr>
            <w:rFonts w:ascii="Calibri Light" w:hAnsi="Calibri Light" w:cs="Calibri Light"/>
            <w:b/>
            <w:bCs/>
            <w:sz w:val="20"/>
            <w:szCs w:val="20"/>
          </w:rPr>
          <w:fldChar w:fldCharType="separate"/>
        </w:r>
        <w:r w:rsidR="00DE0AC5">
          <w:rPr>
            <w:rFonts w:ascii="Calibri Light" w:hAnsi="Calibri Light" w:cs="Calibri Light"/>
            <w:b/>
            <w:bCs/>
            <w:noProof/>
            <w:sz w:val="20"/>
            <w:szCs w:val="20"/>
          </w:rPr>
          <w:t>7</w:t>
        </w:r>
        <w:r w:rsidR="005F6B4E" w:rsidRPr="005F6B4E">
          <w:rPr>
            <w:rFonts w:ascii="Calibri Light" w:hAnsi="Calibri Light" w:cs="Calibri Light"/>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Condensed" w:hAnsi="Tw Cen MT Condensed"/>
        <w:sz w:val="18"/>
        <w:szCs w:val="18"/>
      </w:rPr>
      <w:id w:val="-2004114384"/>
      <w:docPartObj>
        <w:docPartGallery w:val="Page Numbers (Bottom of Page)"/>
        <w:docPartUnique/>
      </w:docPartObj>
    </w:sdtPr>
    <w:sdtEndPr/>
    <w:sdtContent>
      <w:p w14:paraId="6615419F" w14:textId="77777777" w:rsidR="006802A6" w:rsidRDefault="006802A6" w:rsidP="00D74D6F">
        <w:pPr>
          <w:pStyle w:val="Pieddepage"/>
        </w:pPr>
      </w:p>
      <w:p w14:paraId="5883516B" w14:textId="77777777" w:rsidR="006802A6" w:rsidRPr="00BD2018" w:rsidRDefault="00DE0AC5">
        <w:pPr>
          <w:pStyle w:val="Pieddepage"/>
          <w:rPr>
            <w:rFonts w:ascii="Tw Cen MT Condensed" w:hAnsi="Tw Cen MT Condensed"/>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E7E2" w14:textId="77777777" w:rsidR="00E63F7F" w:rsidRDefault="00E63F7F" w:rsidP="009166FD">
      <w:pPr>
        <w:spacing w:after="0" w:line="240" w:lineRule="auto"/>
      </w:pPr>
      <w:r>
        <w:separator/>
      </w:r>
    </w:p>
  </w:footnote>
  <w:footnote w:type="continuationSeparator" w:id="0">
    <w:p w14:paraId="2B6FE73A" w14:textId="77777777" w:rsidR="00E63F7F" w:rsidRDefault="00E63F7F" w:rsidP="00916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48F"/>
    <w:multiLevelType w:val="hybridMultilevel"/>
    <w:tmpl w:val="A90A7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81361"/>
    <w:multiLevelType w:val="hybridMultilevel"/>
    <w:tmpl w:val="3E7EEB0A"/>
    <w:lvl w:ilvl="0" w:tplc="E12605D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72EA9"/>
    <w:multiLevelType w:val="hybridMultilevel"/>
    <w:tmpl w:val="7842E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71216"/>
    <w:multiLevelType w:val="hybridMultilevel"/>
    <w:tmpl w:val="352423AA"/>
    <w:lvl w:ilvl="0" w:tplc="E12605D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FE34EF"/>
    <w:multiLevelType w:val="hybridMultilevel"/>
    <w:tmpl w:val="CEBA5854"/>
    <w:lvl w:ilvl="0" w:tplc="040C0001">
      <w:start w:val="1"/>
      <w:numFmt w:val="bullet"/>
      <w:lvlText w:val=""/>
      <w:lvlJc w:val="left"/>
      <w:pPr>
        <w:ind w:left="1428" w:hanging="360"/>
      </w:pPr>
      <w:rPr>
        <w:rFonts w:ascii="Symbol" w:hAnsi="Symbol" w:hint="default"/>
      </w:rPr>
    </w:lvl>
    <w:lvl w:ilvl="1" w:tplc="1D408E0E">
      <w:numFmt w:val="bullet"/>
      <w:lvlText w:val=""/>
      <w:lvlJc w:val="left"/>
      <w:pPr>
        <w:ind w:left="2148" w:hanging="360"/>
      </w:pPr>
      <w:rPr>
        <w:rFonts w:ascii="Symbol" w:eastAsiaTheme="minorHAnsi" w:hAnsi="Symbol" w:cstheme="minorBid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8987787"/>
    <w:multiLevelType w:val="hybridMultilevel"/>
    <w:tmpl w:val="DCCADA90"/>
    <w:lvl w:ilvl="0" w:tplc="C1B61B18">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74E37"/>
    <w:multiLevelType w:val="hybridMultilevel"/>
    <w:tmpl w:val="4F5AAC54"/>
    <w:lvl w:ilvl="0" w:tplc="9B2EAF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9B1E66"/>
    <w:multiLevelType w:val="hybridMultilevel"/>
    <w:tmpl w:val="E45403E6"/>
    <w:lvl w:ilvl="0" w:tplc="E12605D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575F9A"/>
    <w:multiLevelType w:val="hybridMultilevel"/>
    <w:tmpl w:val="52062D10"/>
    <w:lvl w:ilvl="0" w:tplc="040C0005">
      <w:start w:val="1"/>
      <w:numFmt w:val="bullet"/>
      <w:lvlText w:val=""/>
      <w:lvlJc w:val="left"/>
      <w:pPr>
        <w:ind w:left="720" w:hanging="360"/>
      </w:pPr>
      <w:rPr>
        <w:rFonts w:ascii="Wingdings" w:hAnsi="Wingdings" w:hint="default"/>
      </w:rPr>
    </w:lvl>
    <w:lvl w:ilvl="1" w:tplc="375ABF1C">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1A1160"/>
    <w:multiLevelType w:val="hybridMultilevel"/>
    <w:tmpl w:val="6910FDFE"/>
    <w:lvl w:ilvl="0" w:tplc="E12605D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9B33F2"/>
    <w:multiLevelType w:val="hybridMultilevel"/>
    <w:tmpl w:val="29AE711C"/>
    <w:lvl w:ilvl="0" w:tplc="CEB6C1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222DC7"/>
    <w:multiLevelType w:val="hybridMultilevel"/>
    <w:tmpl w:val="73C0F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917E46"/>
    <w:multiLevelType w:val="hybridMultilevel"/>
    <w:tmpl w:val="346ECF84"/>
    <w:lvl w:ilvl="0" w:tplc="FB28AFB2">
      <w:start w:val="1"/>
      <w:numFmt w:val="bullet"/>
      <w:lvlText w:val="û"/>
      <w:lvlJc w:val="left"/>
      <w:pPr>
        <w:ind w:left="720" w:hanging="360"/>
      </w:pPr>
      <w:rPr>
        <w:rFonts w:ascii="Wingdings" w:hAnsi="Wingdings" w:hint="default"/>
      </w:rPr>
    </w:lvl>
    <w:lvl w:ilvl="1" w:tplc="709ED3D0">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617E3C"/>
    <w:multiLevelType w:val="hybridMultilevel"/>
    <w:tmpl w:val="519E9D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905C06"/>
    <w:multiLevelType w:val="hybridMultilevel"/>
    <w:tmpl w:val="3BE057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B403C2D"/>
    <w:multiLevelType w:val="hybridMultilevel"/>
    <w:tmpl w:val="94B0BC14"/>
    <w:lvl w:ilvl="0" w:tplc="E12605D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D67D16"/>
    <w:multiLevelType w:val="hybridMultilevel"/>
    <w:tmpl w:val="147C428A"/>
    <w:lvl w:ilvl="0" w:tplc="844E3874">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6"/>
  </w:num>
  <w:num w:numId="2">
    <w:abstractNumId w:val="6"/>
  </w:num>
  <w:num w:numId="3">
    <w:abstractNumId w:val="10"/>
  </w:num>
  <w:num w:numId="4">
    <w:abstractNumId w:val="11"/>
  </w:num>
  <w:num w:numId="5">
    <w:abstractNumId w:val="5"/>
  </w:num>
  <w:num w:numId="6">
    <w:abstractNumId w:val="8"/>
  </w:num>
  <w:num w:numId="7">
    <w:abstractNumId w:val="13"/>
  </w:num>
  <w:num w:numId="8">
    <w:abstractNumId w:val="4"/>
  </w:num>
  <w:num w:numId="9">
    <w:abstractNumId w:val="0"/>
  </w:num>
  <w:num w:numId="10">
    <w:abstractNumId w:val="14"/>
  </w:num>
  <w:num w:numId="11">
    <w:abstractNumId w:val="15"/>
  </w:num>
  <w:num w:numId="12">
    <w:abstractNumId w:val="2"/>
  </w:num>
  <w:num w:numId="13">
    <w:abstractNumId w:val="3"/>
  </w:num>
  <w:num w:numId="14">
    <w:abstractNumId w:val="9"/>
  </w:num>
  <w:num w:numId="15">
    <w:abstractNumId w:val="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D0"/>
    <w:rsid w:val="00014D4D"/>
    <w:rsid w:val="0003499D"/>
    <w:rsid w:val="000509C1"/>
    <w:rsid w:val="00055AFF"/>
    <w:rsid w:val="00060780"/>
    <w:rsid w:val="00072CE8"/>
    <w:rsid w:val="000750A6"/>
    <w:rsid w:val="00075CE8"/>
    <w:rsid w:val="0008286F"/>
    <w:rsid w:val="00084187"/>
    <w:rsid w:val="00092660"/>
    <w:rsid w:val="000B03B9"/>
    <w:rsid w:val="000C5C8B"/>
    <w:rsid w:val="000D01E3"/>
    <w:rsid w:val="000D0DA1"/>
    <w:rsid w:val="000D1D5B"/>
    <w:rsid w:val="000D573B"/>
    <w:rsid w:val="000D7245"/>
    <w:rsid w:val="000D79A9"/>
    <w:rsid w:val="000E20FA"/>
    <w:rsid w:val="000E3C9A"/>
    <w:rsid w:val="000E5D4E"/>
    <w:rsid w:val="000F3D44"/>
    <w:rsid w:val="000F5539"/>
    <w:rsid w:val="00124D27"/>
    <w:rsid w:val="00137A30"/>
    <w:rsid w:val="0014531B"/>
    <w:rsid w:val="001566B6"/>
    <w:rsid w:val="001702E2"/>
    <w:rsid w:val="00171C9B"/>
    <w:rsid w:val="00173440"/>
    <w:rsid w:val="00187141"/>
    <w:rsid w:val="00194645"/>
    <w:rsid w:val="001D2B97"/>
    <w:rsid w:val="001D3438"/>
    <w:rsid w:val="001E42B0"/>
    <w:rsid w:val="001E5056"/>
    <w:rsid w:val="00221E2E"/>
    <w:rsid w:val="00240914"/>
    <w:rsid w:val="002528E3"/>
    <w:rsid w:val="002652FF"/>
    <w:rsid w:val="00266005"/>
    <w:rsid w:val="00274A10"/>
    <w:rsid w:val="00286A94"/>
    <w:rsid w:val="002A47FC"/>
    <w:rsid w:val="002B586C"/>
    <w:rsid w:val="002B71ED"/>
    <w:rsid w:val="002D3121"/>
    <w:rsid w:val="002E4A36"/>
    <w:rsid w:val="00311E88"/>
    <w:rsid w:val="00342A66"/>
    <w:rsid w:val="003600CA"/>
    <w:rsid w:val="00370A45"/>
    <w:rsid w:val="00397ADE"/>
    <w:rsid w:val="003A507C"/>
    <w:rsid w:val="003A51DE"/>
    <w:rsid w:val="003E74AF"/>
    <w:rsid w:val="00402D49"/>
    <w:rsid w:val="00403B48"/>
    <w:rsid w:val="004135CD"/>
    <w:rsid w:val="00414BC2"/>
    <w:rsid w:val="00455A76"/>
    <w:rsid w:val="00455B2B"/>
    <w:rsid w:val="00456BB4"/>
    <w:rsid w:val="00465253"/>
    <w:rsid w:val="0047748D"/>
    <w:rsid w:val="0049727C"/>
    <w:rsid w:val="004A1742"/>
    <w:rsid w:val="004B26D5"/>
    <w:rsid w:val="004C355B"/>
    <w:rsid w:val="004C6476"/>
    <w:rsid w:val="004C7537"/>
    <w:rsid w:val="004D47D0"/>
    <w:rsid w:val="004E2AD7"/>
    <w:rsid w:val="004E3319"/>
    <w:rsid w:val="004E60FC"/>
    <w:rsid w:val="004F5A89"/>
    <w:rsid w:val="00500B3B"/>
    <w:rsid w:val="00510DEA"/>
    <w:rsid w:val="00514269"/>
    <w:rsid w:val="005149B6"/>
    <w:rsid w:val="00523E61"/>
    <w:rsid w:val="00543CD6"/>
    <w:rsid w:val="00544432"/>
    <w:rsid w:val="00571D8B"/>
    <w:rsid w:val="0057280E"/>
    <w:rsid w:val="00573148"/>
    <w:rsid w:val="005976F9"/>
    <w:rsid w:val="005A2503"/>
    <w:rsid w:val="005C3883"/>
    <w:rsid w:val="005C4451"/>
    <w:rsid w:val="005C4B35"/>
    <w:rsid w:val="005C4DAC"/>
    <w:rsid w:val="005D03BC"/>
    <w:rsid w:val="005D6880"/>
    <w:rsid w:val="005D76E0"/>
    <w:rsid w:val="005E090D"/>
    <w:rsid w:val="005E5E0E"/>
    <w:rsid w:val="005E6164"/>
    <w:rsid w:val="005E67A1"/>
    <w:rsid w:val="005F15B0"/>
    <w:rsid w:val="005F6B4E"/>
    <w:rsid w:val="00600252"/>
    <w:rsid w:val="0060289F"/>
    <w:rsid w:val="00643548"/>
    <w:rsid w:val="00643B5A"/>
    <w:rsid w:val="00665133"/>
    <w:rsid w:val="0066700C"/>
    <w:rsid w:val="0066788B"/>
    <w:rsid w:val="006802A6"/>
    <w:rsid w:val="006820F7"/>
    <w:rsid w:val="00683C7C"/>
    <w:rsid w:val="006B568A"/>
    <w:rsid w:val="006C4F9D"/>
    <w:rsid w:val="006D3387"/>
    <w:rsid w:val="006E219D"/>
    <w:rsid w:val="006E3984"/>
    <w:rsid w:val="006F00B8"/>
    <w:rsid w:val="00701D7A"/>
    <w:rsid w:val="00710084"/>
    <w:rsid w:val="00717396"/>
    <w:rsid w:val="00717BC0"/>
    <w:rsid w:val="00724B2D"/>
    <w:rsid w:val="007273CA"/>
    <w:rsid w:val="00736DBA"/>
    <w:rsid w:val="007B62EE"/>
    <w:rsid w:val="007C2224"/>
    <w:rsid w:val="007D0F51"/>
    <w:rsid w:val="007D794E"/>
    <w:rsid w:val="007E3703"/>
    <w:rsid w:val="008003BC"/>
    <w:rsid w:val="00802B1E"/>
    <w:rsid w:val="00864C4B"/>
    <w:rsid w:val="00866136"/>
    <w:rsid w:val="00873A51"/>
    <w:rsid w:val="008771A9"/>
    <w:rsid w:val="00877428"/>
    <w:rsid w:val="008816C4"/>
    <w:rsid w:val="008B757C"/>
    <w:rsid w:val="008C057D"/>
    <w:rsid w:val="008C5F6A"/>
    <w:rsid w:val="008C6B2A"/>
    <w:rsid w:val="008F253F"/>
    <w:rsid w:val="008F7D2D"/>
    <w:rsid w:val="00901A5A"/>
    <w:rsid w:val="00901E38"/>
    <w:rsid w:val="00907985"/>
    <w:rsid w:val="00910A32"/>
    <w:rsid w:val="009166FD"/>
    <w:rsid w:val="00921152"/>
    <w:rsid w:val="00921344"/>
    <w:rsid w:val="00923CC4"/>
    <w:rsid w:val="00931CDD"/>
    <w:rsid w:val="00931D27"/>
    <w:rsid w:val="00935AA3"/>
    <w:rsid w:val="0094284D"/>
    <w:rsid w:val="00947F3E"/>
    <w:rsid w:val="009556A4"/>
    <w:rsid w:val="00961132"/>
    <w:rsid w:val="00976CD1"/>
    <w:rsid w:val="009821BD"/>
    <w:rsid w:val="0099510F"/>
    <w:rsid w:val="009A1662"/>
    <w:rsid w:val="009C788A"/>
    <w:rsid w:val="00A13CD4"/>
    <w:rsid w:val="00A30CD2"/>
    <w:rsid w:val="00A4038E"/>
    <w:rsid w:val="00A41607"/>
    <w:rsid w:val="00A457AD"/>
    <w:rsid w:val="00A55EC5"/>
    <w:rsid w:val="00A56CD3"/>
    <w:rsid w:val="00A57530"/>
    <w:rsid w:val="00A720F1"/>
    <w:rsid w:val="00A84438"/>
    <w:rsid w:val="00A86E3E"/>
    <w:rsid w:val="00A92915"/>
    <w:rsid w:val="00AC2666"/>
    <w:rsid w:val="00AC2DBF"/>
    <w:rsid w:val="00AC2DD3"/>
    <w:rsid w:val="00AC5C40"/>
    <w:rsid w:val="00AE21C3"/>
    <w:rsid w:val="00AE442F"/>
    <w:rsid w:val="00AE5607"/>
    <w:rsid w:val="00AF1BB4"/>
    <w:rsid w:val="00AF30BA"/>
    <w:rsid w:val="00AF6484"/>
    <w:rsid w:val="00B237B8"/>
    <w:rsid w:val="00B378EA"/>
    <w:rsid w:val="00BA7E10"/>
    <w:rsid w:val="00BC2AD1"/>
    <w:rsid w:val="00BC36DD"/>
    <w:rsid w:val="00BD11A3"/>
    <w:rsid w:val="00BE61BF"/>
    <w:rsid w:val="00BF3820"/>
    <w:rsid w:val="00C40061"/>
    <w:rsid w:val="00C438DE"/>
    <w:rsid w:val="00C4705B"/>
    <w:rsid w:val="00C50193"/>
    <w:rsid w:val="00C77924"/>
    <w:rsid w:val="00C85A0B"/>
    <w:rsid w:val="00CA2B66"/>
    <w:rsid w:val="00CA3021"/>
    <w:rsid w:val="00CA77C9"/>
    <w:rsid w:val="00CB7D44"/>
    <w:rsid w:val="00D012FA"/>
    <w:rsid w:val="00D01B62"/>
    <w:rsid w:val="00D03953"/>
    <w:rsid w:val="00D048B0"/>
    <w:rsid w:val="00D23CA8"/>
    <w:rsid w:val="00D36D35"/>
    <w:rsid w:val="00D40FD8"/>
    <w:rsid w:val="00D43ACD"/>
    <w:rsid w:val="00D443BD"/>
    <w:rsid w:val="00D513DA"/>
    <w:rsid w:val="00D63F9F"/>
    <w:rsid w:val="00D66D0E"/>
    <w:rsid w:val="00D67B98"/>
    <w:rsid w:val="00D74D6F"/>
    <w:rsid w:val="00D93917"/>
    <w:rsid w:val="00DA0E4C"/>
    <w:rsid w:val="00DB3B32"/>
    <w:rsid w:val="00DC1160"/>
    <w:rsid w:val="00DC6022"/>
    <w:rsid w:val="00DE0AC5"/>
    <w:rsid w:val="00DE788C"/>
    <w:rsid w:val="00DF5EAF"/>
    <w:rsid w:val="00E0220C"/>
    <w:rsid w:val="00E20C50"/>
    <w:rsid w:val="00E25A49"/>
    <w:rsid w:val="00E3080C"/>
    <w:rsid w:val="00E30A34"/>
    <w:rsid w:val="00E63F7F"/>
    <w:rsid w:val="00E65400"/>
    <w:rsid w:val="00E72D0E"/>
    <w:rsid w:val="00E72DA7"/>
    <w:rsid w:val="00E8034D"/>
    <w:rsid w:val="00E84BF5"/>
    <w:rsid w:val="00EA5124"/>
    <w:rsid w:val="00EB6DD6"/>
    <w:rsid w:val="00EC589C"/>
    <w:rsid w:val="00ED5705"/>
    <w:rsid w:val="00EE6D06"/>
    <w:rsid w:val="00EF3275"/>
    <w:rsid w:val="00EF7BC6"/>
    <w:rsid w:val="00F05971"/>
    <w:rsid w:val="00F13A4F"/>
    <w:rsid w:val="00F22C70"/>
    <w:rsid w:val="00F265E0"/>
    <w:rsid w:val="00F330DB"/>
    <w:rsid w:val="00F37845"/>
    <w:rsid w:val="00F72A3D"/>
    <w:rsid w:val="00F85DFA"/>
    <w:rsid w:val="00F971B5"/>
    <w:rsid w:val="00FC3801"/>
    <w:rsid w:val="00FE0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B117C"/>
  <w15:chartTrackingRefBased/>
  <w15:docId w15:val="{7421EEA2-F406-4A4E-A92E-4D3D91C5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D47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6802A6"/>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A50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47D0"/>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4D47D0"/>
    <w:pPr>
      <w:outlineLvl w:val="9"/>
    </w:pPr>
    <w:rPr>
      <w:lang w:eastAsia="fr-FR"/>
    </w:rPr>
  </w:style>
  <w:style w:type="paragraph" w:styleId="TM1">
    <w:name w:val="toc 1"/>
    <w:basedOn w:val="Normal"/>
    <w:next w:val="Normal"/>
    <w:autoRedefine/>
    <w:uiPriority w:val="39"/>
    <w:unhideWhenUsed/>
    <w:rsid w:val="004D47D0"/>
    <w:pPr>
      <w:spacing w:after="100"/>
    </w:pPr>
  </w:style>
  <w:style w:type="character" w:styleId="Lienhypertexte">
    <w:name w:val="Hyperlink"/>
    <w:basedOn w:val="Policepardfaut"/>
    <w:uiPriority w:val="99"/>
    <w:unhideWhenUsed/>
    <w:rsid w:val="004D47D0"/>
    <w:rPr>
      <w:color w:val="0563C1" w:themeColor="hyperlink"/>
      <w:u w:val="single"/>
    </w:rPr>
  </w:style>
  <w:style w:type="character" w:customStyle="1" w:styleId="Titre2Car">
    <w:name w:val="Titre 2 Car"/>
    <w:basedOn w:val="Policepardfaut"/>
    <w:link w:val="Titre2"/>
    <w:uiPriority w:val="9"/>
    <w:rsid w:val="006802A6"/>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4D47D0"/>
    <w:pPr>
      <w:spacing w:after="100"/>
      <w:ind w:left="220"/>
    </w:pPr>
  </w:style>
  <w:style w:type="character" w:customStyle="1" w:styleId="Titre3Car">
    <w:name w:val="Titre 3 Car"/>
    <w:basedOn w:val="Policepardfaut"/>
    <w:link w:val="Titre3"/>
    <w:uiPriority w:val="9"/>
    <w:rsid w:val="003A507C"/>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456BB4"/>
    <w:pPr>
      <w:ind w:left="720"/>
      <w:contextualSpacing/>
    </w:pPr>
  </w:style>
  <w:style w:type="character" w:styleId="Marquedecommentaire">
    <w:name w:val="annotation reference"/>
    <w:basedOn w:val="Policepardfaut"/>
    <w:uiPriority w:val="99"/>
    <w:semiHidden/>
    <w:unhideWhenUsed/>
    <w:rsid w:val="00710084"/>
    <w:rPr>
      <w:sz w:val="16"/>
      <w:szCs w:val="16"/>
    </w:rPr>
  </w:style>
  <w:style w:type="paragraph" w:styleId="Commentaire">
    <w:name w:val="annotation text"/>
    <w:basedOn w:val="Normal"/>
    <w:link w:val="CommentaireCar"/>
    <w:uiPriority w:val="99"/>
    <w:semiHidden/>
    <w:unhideWhenUsed/>
    <w:rsid w:val="00710084"/>
    <w:pPr>
      <w:spacing w:line="240" w:lineRule="auto"/>
    </w:pPr>
    <w:rPr>
      <w:sz w:val="20"/>
      <w:szCs w:val="20"/>
    </w:rPr>
  </w:style>
  <w:style w:type="character" w:customStyle="1" w:styleId="CommentaireCar">
    <w:name w:val="Commentaire Car"/>
    <w:basedOn w:val="Policepardfaut"/>
    <w:link w:val="Commentaire"/>
    <w:uiPriority w:val="99"/>
    <w:semiHidden/>
    <w:rsid w:val="00710084"/>
    <w:rPr>
      <w:sz w:val="20"/>
      <w:szCs w:val="20"/>
    </w:rPr>
  </w:style>
  <w:style w:type="paragraph" w:styleId="Objetducommentaire">
    <w:name w:val="annotation subject"/>
    <w:basedOn w:val="Commentaire"/>
    <w:next w:val="Commentaire"/>
    <w:link w:val="ObjetducommentaireCar"/>
    <w:uiPriority w:val="99"/>
    <w:semiHidden/>
    <w:unhideWhenUsed/>
    <w:rsid w:val="00710084"/>
    <w:rPr>
      <w:b/>
      <w:bCs/>
    </w:rPr>
  </w:style>
  <w:style w:type="character" w:customStyle="1" w:styleId="ObjetducommentaireCar">
    <w:name w:val="Objet du commentaire Car"/>
    <w:basedOn w:val="CommentaireCar"/>
    <w:link w:val="Objetducommentaire"/>
    <w:uiPriority w:val="99"/>
    <w:semiHidden/>
    <w:rsid w:val="00710084"/>
    <w:rPr>
      <w:b/>
      <w:bCs/>
      <w:sz w:val="20"/>
      <w:szCs w:val="20"/>
    </w:rPr>
  </w:style>
  <w:style w:type="paragraph" w:styleId="Textedebulles">
    <w:name w:val="Balloon Text"/>
    <w:basedOn w:val="Normal"/>
    <w:link w:val="TextedebullesCar"/>
    <w:uiPriority w:val="99"/>
    <w:semiHidden/>
    <w:unhideWhenUsed/>
    <w:rsid w:val="007100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084"/>
    <w:rPr>
      <w:rFonts w:ascii="Segoe UI" w:hAnsi="Segoe UI" w:cs="Segoe UI"/>
      <w:sz w:val="18"/>
      <w:szCs w:val="18"/>
    </w:rPr>
  </w:style>
  <w:style w:type="paragraph" w:styleId="TM3">
    <w:name w:val="toc 3"/>
    <w:basedOn w:val="Normal"/>
    <w:next w:val="Normal"/>
    <w:autoRedefine/>
    <w:uiPriority w:val="39"/>
    <w:unhideWhenUsed/>
    <w:rsid w:val="00571D8B"/>
    <w:pPr>
      <w:spacing w:after="100"/>
      <w:ind w:left="440"/>
    </w:pPr>
  </w:style>
  <w:style w:type="paragraph" w:styleId="En-tte">
    <w:name w:val="header"/>
    <w:basedOn w:val="Normal"/>
    <w:link w:val="En-tteCar"/>
    <w:uiPriority w:val="99"/>
    <w:unhideWhenUsed/>
    <w:rsid w:val="009166FD"/>
    <w:pPr>
      <w:tabs>
        <w:tab w:val="center" w:pos="4536"/>
        <w:tab w:val="right" w:pos="9072"/>
      </w:tabs>
      <w:spacing w:after="0" w:line="240" w:lineRule="auto"/>
    </w:pPr>
  </w:style>
  <w:style w:type="character" w:customStyle="1" w:styleId="En-tteCar">
    <w:name w:val="En-tête Car"/>
    <w:basedOn w:val="Policepardfaut"/>
    <w:link w:val="En-tte"/>
    <w:uiPriority w:val="99"/>
    <w:rsid w:val="009166FD"/>
  </w:style>
  <w:style w:type="paragraph" w:styleId="Pieddepage">
    <w:name w:val="footer"/>
    <w:basedOn w:val="Normal"/>
    <w:link w:val="PieddepageCar"/>
    <w:uiPriority w:val="99"/>
    <w:unhideWhenUsed/>
    <w:rsid w:val="00916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6FD"/>
  </w:style>
  <w:style w:type="table" w:styleId="Grilledutableau">
    <w:name w:val="Table Grid"/>
    <w:basedOn w:val="TableauNormal"/>
    <w:uiPriority w:val="39"/>
    <w:rsid w:val="00D4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D66D0E"/>
    <w:rPr>
      <w:color w:val="605E5C"/>
      <w:shd w:val="clear" w:color="auto" w:fill="E1DFDD"/>
    </w:rPr>
  </w:style>
  <w:style w:type="character" w:styleId="Lienhypertextesuivivisit">
    <w:name w:val="FollowedHyperlink"/>
    <w:basedOn w:val="Policepardfaut"/>
    <w:uiPriority w:val="99"/>
    <w:semiHidden/>
    <w:unhideWhenUsed/>
    <w:rsid w:val="000F55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8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france.gouv.fr/codes/article_lc/LEGIARTI000024833491" TargetMode="External"/><Relationship Id="rId4" Type="http://schemas.openxmlformats.org/officeDocument/2006/relationships/settings" Target="settings.xml"/><Relationship Id="rId9" Type="http://schemas.openxmlformats.org/officeDocument/2006/relationships/hyperlink" Target="https://www.legifrance.gouv.fr/jorf/id/JORFTEXT00004331061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9D8B-29F7-4BA4-AAB9-2ED518A2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2359</Words>
  <Characters>12977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Departement du Nord</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LEFRANC Charlotte</dc:creator>
  <cp:keywords/>
  <dc:description/>
  <cp:lastModifiedBy>DEHAY Charlotte</cp:lastModifiedBy>
  <cp:revision>3</cp:revision>
  <cp:lastPrinted>2023-05-09T10:18:00Z</cp:lastPrinted>
  <dcterms:created xsi:type="dcterms:W3CDTF">2023-05-24T13:24:00Z</dcterms:created>
  <dcterms:modified xsi:type="dcterms:W3CDTF">2023-05-24T13:41:00Z</dcterms:modified>
</cp:coreProperties>
</file>