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color w:val="auto"/>
          <w:kern w:val="0"/>
          <w:sz w:val="24"/>
          <w:szCs w:val="20"/>
        </w:rPr>
        <w:id w:val="-736087417"/>
        <w:docPartObj>
          <w:docPartGallery w:val="Cover Pages"/>
          <w:docPartUnique/>
        </w:docPartObj>
      </w:sdtPr>
      <w:sdtEndPr>
        <w:rPr>
          <w:rFonts w:cs="Arial"/>
          <w:sz w:val="22"/>
          <w:szCs w:val="22"/>
        </w:rPr>
      </w:sdtEndPr>
      <w:sdtContent>
        <w:p w14:paraId="49A8B26A" w14:textId="5560FE35" w:rsidR="009C0582" w:rsidRPr="009C0582" w:rsidRDefault="009C0582" w:rsidP="008317D3">
          <w:pPr>
            <w:pStyle w:val="Titre"/>
            <w:pBdr>
              <w:bottom w:val="none" w:sz="0" w:space="0" w:color="auto"/>
            </w:pBdr>
            <w:rPr>
              <w:noProof/>
              <w:lang w:eastAsia="fr-FR"/>
            </w:rPr>
          </w:pPr>
          <w:r w:rsidRPr="009C0582">
            <w:rPr>
              <w:noProof/>
              <w:lang w:eastAsia="fr-FR"/>
            </w:rPr>
            <w:t>Avis d’</w:t>
          </w:r>
          <w:r w:rsidR="008B5FAE">
            <w:rPr>
              <w:noProof/>
              <w:lang w:eastAsia="fr-FR"/>
            </w:rPr>
            <w:t>a</w:t>
          </w:r>
          <w:r w:rsidRPr="009C0582">
            <w:rPr>
              <w:noProof/>
              <w:lang w:eastAsia="fr-FR"/>
            </w:rPr>
            <w:t xml:space="preserve">ppel à </w:t>
          </w:r>
          <w:r w:rsidR="008B5FAE">
            <w:rPr>
              <w:noProof/>
              <w:lang w:eastAsia="fr-FR"/>
            </w:rPr>
            <w:t>c</w:t>
          </w:r>
          <w:r w:rsidRPr="009C0582">
            <w:rPr>
              <w:noProof/>
              <w:lang w:eastAsia="fr-FR"/>
            </w:rPr>
            <w:t>oncurrence</w:t>
          </w:r>
        </w:p>
        <w:p w14:paraId="6664809B" w14:textId="4B14AB97" w:rsidR="009C0582" w:rsidRPr="008317D3" w:rsidRDefault="009C0582" w:rsidP="008317D3">
          <w:pPr>
            <w:pStyle w:val="Sous-titre"/>
          </w:pPr>
          <w:r w:rsidRPr="008317D3">
            <w:t xml:space="preserve">Acheteur </w:t>
          </w:r>
          <w:r w:rsidR="00DA4F12" w:rsidRPr="008317D3">
            <w:t>– Pouvoir adjudicateur</w:t>
          </w:r>
        </w:p>
        <w:p w14:paraId="38A6B2B8" w14:textId="2ECBF4E1" w:rsidR="009C0582" w:rsidRPr="008317D3" w:rsidRDefault="00D852CE" w:rsidP="00161084">
          <w:pPr>
            <w:pStyle w:val="TM1"/>
            <w:jc w:val="center"/>
          </w:pPr>
          <w:r>
            <w:t>Commune d’EPPE SAUVAGE</w:t>
          </w:r>
        </w:p>
        <w:p w14:paraId="3A1DA326" w14:textId="77777777" w:rsidR="009C0582" w:rsidRPr="009C0582" w:rsidRDefault="009C0582" w:rsidP="009C0582">
          <w:pPr>
            <w:rPr>
              <w:szCs w:val="24"/>
              <w:lang w:eastAsia="fr-FR"/>
            </w:rPr>
          </w:pPr>
        </w:p>
        <w:p w14:paraId="1E08AA25" w14:textId="1DE7A243" w:rsidR="009C0582" w:rsidRPr="009C0582" w:rsidRDefault="009C0582" w:rsidP="009C0582">
          <w:pPr>
            <w:rPr>
              <w:szCs w:val="24"/>
              <w:lang w:eastAsia="fr-FR"/>
            </w:rPr>
          </w:pPr>
          <w:r w:rsidRPr="009C0582">
            <w:rPr>
              <w:szCs w:val="24"/>
              <w:lang w:eastAsia="fr-FR"/>
            </w:rPr>
            <w:t>Représentée par</w:t>
          </w:r>
          <w:r w:rsidR="008871FC">
            <w:rPr>
              <w:szCs w:val="24"/>
              <w:lang w:eastAsia="fr-FR"/>
            </w:rPr>
            <w:t xml:space="preserve"> son</w:t>
          </w:r>
          <w:r w:rsidRPr="009C0582">
            <w:rPr>
              <w:szCs w:val="24"/>
              <w:lang w:eastAsia="fr-FR"/>
            </w:rPr>
            <w:t xml:space="preserve"> Maire</w:t>
          </w:r>
          <w:r w:rsidR="008871FC">
            <w:rPr>
              <w:szCs w:val="24"/>
              <w:lang w:eastAsia="fr-FR"/>
            </w:rPr>
            <w:t xml:space="preserve">, </w:t>
          </w:r>
          <w:r w:rsidR="006478A0">
            <w:rPr>
              <w:szCs w:val="24"/>
              <w:lang w:eastAsia="fr-FR"/>
            </w:rPr>
            <w:t>Mme Viviane Desmarchelier</w:t>
          </w:r>
        </w:p>
        <w:p w14:paraId="537880D1" w14:textId="77777777" w:rsidR="009C0582" w:rsidRPr="00024B8A" w:rsidRDefault="009C0582" w:rsidP="008317D3">
          <w:pPr>
            <w:pStyle w:val="Sous-titre"/>
          </w:pPr>
          <w:r w:rsidRPr="00024B8A">
            <w:t>Objet du marché public</w:t>
          </w:r>
        </w:p>
        <w:p w14:paraId="594ED9CB" w14:textId="77777777" w:rsidR="006478A0" w:rsidRDefault="002F6270" w:rsidP="002F6270">
          <w:bookmarkStart w:id="0" w:name="_Hlk92203188"/>
          <w:r>
            <w:t xml:space="preserve">Assistance à maîtrise d’ouvrage </w:t>
          </w:r>
          <w:r w:rsidR="006478A0">
            <w:t>pour la construction d’un nouvel équipement polyvalent</w:t>
          </w:r>
        </w:p>
        <w:p w14:paraId="51243089" w14:textId="77777777" w:rsidR="00161084" w:rsidRDefault="00161084" w:rsidP="002F6270"/>
        <w:p w14:paraId="557F451C" w14:textId="3651A4C8" w:rsidR="006478A0" w:rsidRDefault="006478A0" w:rsidP="006478A0">
          <w:pPr>
            <w:pStyle w:val="Paragraphedeliste"/>
            <w:numPr>
              <w:ilvl w:val="0"/>
              <w:numId w:val="27"/>
            </w:numPr>
          </w:pPr>
          <w:r>
            <w:t>Tranche ferme : Etudes de faisabilité -  Elaboration du programme site et architectural, fonctionnel, technique et environnemental / Fixation de l’enveloppe financière prévisionnelle</w:t>
          </w:r>
        </w:p>
        <w:p w14:paraId="0E8B2D20" w14:textId="7378FDB9" w:rsidR="006478A0" w:rsidRDefault="006478A0" w:rsidP="006478A0">
          <w:pPr>
            <w:pStyle w:val="Paragraphedeliste"/>
            <w:numPr>
              <w:ilvl w:val="0"/>
              <w:numId w:val="27"/>
            </w:numPr>
          </w:pPr>
          <w:r>
            <w:t>Tranche optionnelle n°1 : Assistance à la rédaction des documents de consultation et la sélection de la maîtrise d’œuvre et des autres prestataires nécessaires à l’élaboration du projet</w:t>
          </w:r>
        </w:p>
        <w:p w14:paraId="46D979B9" w14:textId="58858A78" w:rsidR="006478A0" w:rsidRDefault="006478A0" w:rsidP="001E1DC8">
          <w:pPr>
            <w:pStyle w:val="Paragraphedeliste"/>
            <w:numPr>
              <w:ilvl w:val="0"/>
              <w:numId w:val="27"/>
            </w:numPr>
          </w:pPr>
          <w:r>
            <w:t>Tranche optionnelle n°2 : Suivi des études de conception - Contrôle et suivi des autorisations administratives de construire</w:t>
          </w:r>
        </w:p>
        <w:p w14:paraId="7388137A" w14:textId="0D59AF38" w:rsidR="006478A0" w:rsidRDefault="006478A0" w:rsidP="00935F85">
          <w:pPr>
            <w:pStyle w:val="Paragraphedeliste"/>
            <w:numPr>
              <w:ilvl w:val="0"/>
              <w:numId w:val="27"/>
            </w:numPr>
          </w:pPr>
          <w:r>
            <w:t>Tranche optionnelle n°3</w:t>
          </w:r>
          <w:r>
            <w:tab/>
            <w:t>Suivi de chantier - Réception de chantier</w:t>
          </w:r>
        </w:p>
        <w:p w14:paraId="7B6303BD" w14:textId="3F5D17DE" w:rsidR="006478A0" w:rsidRDefault="006478A0" w:rsidP="006478A0">
          <w:pPr>
            <w:pStyle w:val="Paragraphedeliste"/>
            <w:numPr>
              <w:ilvl w:val="0"/>
              <w:numId w:val="27"/>
            </w:numPr>
          </w:pPr>
          <w:r>
            <w:t>Tranche optionnelle n°4</w:t>
          </w:r>
          <w:r>
            <w:tab/>
            <w:t>Visites pédagogiques de chantier</w:t>
          </w:r>
        </w:p>
        <w:bookmarkEnd w:id="0"/>
        <w:p w14:paraId="7B8EF2F7" w14:textId="2D445761" w:rsidR="009C0582" w:rsidRDefault="00215F70" w:rsidP="008317D3">
          <w:pPr>
            <w:pStyle w:val="Sous-titre"/>
          </w:pPr>
          <w:r>
            <w:t>Caractéristiques de la consultation</w:t>
          </w:r>
          <w:r w:rsidR="00161084">
            <w:t xml:space="preserve"> et du marché</w:t>
          </w:r>
        </w:p>
        <w:p w14:paraId="360BD50F" w14:textId="0841E2F0" w:rsidR="009C0582" w:rsidRDefault="00215F70" w:rsidP="009C0582">
          <w:pPr>
            <w:rPr>
              <w:rFonts w:cs="Arial"/>
              <w:szCs w:val="24"/>
            </w:rPr>
          </w:pPr>
          <w:r w:rsidRPr="00215F70">
            <w:rPr>
              <w:rFonts w:cs="Arial"/>
              <w:b/>
              <w:szCs w:val="24"/>
            </w:rPr>
            <w:t>Procédure de passation</w:t>
          </w:r>
          <w:r>
            <w:rPr>
              <w:rFonts w:cs="Arial"/>
              <w:szCs w:val="24"/>
            </w:rPr>
            <w:t xml:space="preserve">. </w:t>
          </w:r>
          <w:r w:rsidR="009C0582" w:rsidRPr="009C0582">
            <w:rPr>
              <w:rFonts w:cs="Arial"/>
              <w:szCs w:val="24"/>
            </w:rPr>
            <w:t>Procédure adaptée (</w:t>
          </w:r>
          <w:r w:rsidR="00161084">
            <w:rPr>
              <w:rFonts w:cs="Arial"/>
              <w:szCs w:val="24"/>
            </w:rPr>
            <w:t>CCP, ar</w:t>
          </w:r>
          <w:r w:rsidR="009C0582" w:rsidRPr="009C0582">
            <w:rPr>
              <w:rFonts w:cs="Arial"/>
              <w:szCs w:val="24"/>
            </w:rPr>
            <w:t>t. R. 2123-1).</w:t>
          </w:r>
        </w:p>
        <w:p w14:paraId="62ABB3BB" w14:textId="701AE828" w:rsidR="00161084" w:rsidRDefault="00161084" w:rsidP="009C0582">
          <w:pPr>
            <w:rPr>
              <w:rFonts w:cs="Arial"/>
              <w:szCs w:val="24"/>
            </w:rPr>
          </w:pPr>
        </w:p>
        <w:p w14:paraId="5349392C" w14:textId="3C9A485D" w:rsidR="00161084" w:rsidRDefault="00161084" w:rsidP="009C0582">
          <w:pPr>
            <w:rPr>
              <w:rFonts w:cs="Arial"/>
              <w:szCs w:val="24"/>
            </w:rPr>
          </w:pPr>
          <w:r w:rsidRPr="00161084">
            <w:rPr>
              <w:rFonts w:cs="Arial"/>
              <w:b/>
              <w:szCs w:val="24"/>
            </w:rPr>
            <w:t>Pas de visite</w:t>
          </w:r>
          <w:r>
            <w:rPr>
              <w:rFonts w:cs="Arial"/>
              <w:szCs w:val="24"/>
            </w:rPr>
            <w:t xml:space="preserve">. </w:t>
          </w:r>
        </w:p>
        <w:p w14:paraId="295EA3D7" w14:textId="77777777" w:rsidR="00215F70" w:rsidRPr="009C0582" w:rsidRDefault="00215F70" w:rsidP="009C0582">
          <w:pPr>
            <w:rPr>
              <w:rFonts w:cs="Arial"/>
              <w:szCs w:val="24"/>
            </w:rPr>
          </w:pPr>
        </w:p>
        <w:p w14:paraId="689A51D5" w14:textId="143D70CF" w:rsidR="00161084" w:rsidRDefault="00482F27" w:rsidP="00161084">
          <w:pPr>
            <w:rPr>
              <w:rFonts w:asciiTheme="majorHAnsi" w:hAnsiTheme="majorHAnsi" w:cstheme="majorHAnsi"/>
            </w:rPr>
          </w:pPr>
          <w:r>
            <w:rPr>
              <w:rFonts w:cs="Arial"/>
              <w:b/>
              <w:szCs w:val="24"/>
            </w:rPr>
            <w:t>Audition.</w:t>
          </w:r>
          <w:bookmarkStart w:id="1" w:name="_Hlk92203354"/>
          <w:r>
            <w:rPr>
              <w:rFonts w:cs="Arial"/>
              <w:b/>
              <w:szCs w:val="24"/>
            </w:rPr>
            <w:t xml:space="preserve"> </w:t>
          </w:r>
          <w:r w:rsidRPr="00482F27">
            <w:rPr>
              <w:rFonts w:cs="Arial"/>
              <w:szCs w:val="24"/>
            </w:rPr>
            <w:t>L</w:t>
          </w:r>
          <w:r w:rsidR="00161084">
            <w:rPr>
              <w:rFonts w:asciiTheme="majorHAnsi" w:hAnsiTheme="majorHAnsi" w:cstheme="majorHAnsi"/>
            </w:rPr>
            <w:t>’acheteur recevra au maximum les 5 candidats arrivés en tête du classement pour une présentation</w:t>
          </w:r>
          <w:r>
            <w:rPr>
              <w:rFonts w:asciiTheme="majorHAnsi" w:hAnsiTheme="majorHAnsi" w:cstheme="majorHAnsi"/>
            </w:rPr>
            <w:t xml:space="preserve"> de leur projet </w:t>
          </w:r>
          <w:r w:rsidRPr="00482F27">
            <w:rPr>
              <w:rFonts w:asciiTheme="majorHAnsi" w:hAnsiTheme="majorHAnsi" w:cstheme="majorHAnsi"/>
              <w:b/>
            </w:rPr>
            <w:t>le 26 juin 2023</w:t>
          </w:r>
          <w:r w:rsidR="00161084">
            <w:rPr>
              <w:rFonts w:asciiTheme="majorHAnsi" w:hAnsiTheme="majorHAnsi" w:cstheme="majorHAnsi"/>
            </w:rPr>
            <w:t>.</w:t>
          </w:r>
        </w:p>
        <w:p w14:paraId="03425776" w14:textId="798A1C9D" w:rsidR="00161084" w:rsidRDefault="00161084" w:rsidP="00161084">
          <w:pPr>
            <w:rPr>
              <w:rFonts w:asciiTheme="majorHAnsi" w:hAnsiTheme="majorHAnsi" w:cstheme="majorHAnsi"/>
            </w:rPr>
          </w:pPr>
          <w:r>
            <w:rPr>
              <w:rFonts w:asciiTheme="majorHAnsi" w:hAnsiTheme="majorHAnsi" w:cstheme="majorHAnsi"/>
            </w:rPr>
            <w:t xml:space="preserve">Les candidats concernés seront convoqués via </w:t>
          </w:r>
          <w:r w:rsidR="00482F27">
            <w:rPr>
              <w:rFonts w:asciiTheme="majorHAnsi" w:hAnsiTheme="majorHAnsi" w:cstheme="majorHAnsi"/>
            </w:rPr>
            <w:t xml:space="preserve">le </w:t>
          </w:r>
          <w:r>
            <w:rPr>
              <w:rFonts w:asciiTheme="majorHAnsi" w:hAnsiTheme="majorHAnsi" w:cstheme="majorHAnsi"/>
            </w:rPr>
            <w:t>profil d’acheteur.</w:t>
          </w:r>
        </w:p>
        <w:p w14:paraId="2321FFBE" w14:textId="0D72E5FE" w:rsidR="00161084" w:rsidRDefault="00161084" w:rsidP="00161084">
          <w:pPr>
            <w:rPr>
              <w:rFonts w:asciiTheme="majorHAnsi" w:hAnsiTheme="majorHAnsi" w:cstheme="majorHAnsi"/>
            </w:rPr>
          </w:pPr>
          <w:r>
            <w:rPr>
              <w:rFonts w:asciiTheme="majorHAnsi" w:hAnsiTheme="majorHAnsi" w:cstheme="majorHAnsi"/>
            </w:rPr>
            <w:t>Aucune remise d’une nouvelle offre ne sera admise à l’issue de cette audition.</w:t>
          </w:r>
        </w:p>
        <w:bookmarkEnd w:id="1"/>
        <w:p w14:paraId="1D9730C3" w14:textId="77777777" w:rsidR="00215F70" w:rsidRPr="009C0582" w:rsidRDefault="00215F70" w:rsidP="009C0582">
          <w:pPr>
            <w:rPr>
              <w:rFonts w:cs="Arial"/>
              <w:szCs w:val="24"/>
            </w:rPr>
          </w:pPr>
        </w:p>
        <w:p w14:paraId="6D5A56C8" w14:textId="5E54C1EB" w:rsidR="00161084" w:rsidRPr="00596E26" w:rsidRDefault="00215F70" w:rsidP="009C0582">
          <w:pPr>
            <w:rPr>
              <w:rFonts w:cs="Arial"/>
              <w:iCs/>
              <w:szCs w:val="24"/>
            </w:rPr>
          </w:pPr>
          <w:r w:rsidRPr="00215F70">
            <w:rPr>
              <w:rFonts w:cs="Arial"/>
              <w:b/>
              <w:szCs w:val="24"/>
            </w:rPr>
            <w:t>Variantes</w:t>
          </w:r>
          <w:r>
            <w:rPr>
              <w:rFonts w:cs="Arial"/>
              <w:szCs w:val="24"/>
            </w:rPr>
            <w:t xml:space="preserve">. </w:t>
          </w:r>
          <w:r w:rsidR="0027314F" w:rsidRPr="0027314F">
            <w:rPr>
              <w:rFonts w:cs="Arial"/>
              <w:iCs/>
              <w:szCs w:val="24"/>
            </w:rPr>
            <w:t>Les variantes sont refusées.</w:t>
          </w:r>
        </w:p>
        <w:p w14:paraId="0F23A57B" w14:textId="16EB3734" w:rsidR="009C0582" w:rsidRDefault="008317D3" w:rsidP="008317D3">
          <w:pPr>
            <w:pStyle w:val="Sous-titre"/>
          </w:pPr>
          <w:r>
            <w:t>A</w:t>
          </w:r>
          <w:r w:rsidR="009C0582">
            <w:t>ttribution du marché public</w:t>
          </w:r>
        </w:p>
        <w:p w14:paraId="6590249E" w14:textId="19E7EDAD" w:rsidR="009C0582" w:rsidRPr="009C0582" w:rsidRDefault="009C0582" w:rsidP="009C0582">
          <w:pPr>
            <w:rPr>
              <w:rFonts w:cs="Arial"/>
              <w:szCs w:val="24"/>
            </w:rPr>
          </w:pPr>
          <w:r w:rsidRPr="009C0582">
            <w:rPr>
              <w:rFonts w:cs="Arial"/>
              <w:b/>
              <w:szCs w:val="24"/>
            </w:rPr>
            <w:t>Phase de candidature</w:t>
          </w:r>
          <w:r w:rsidRPr="009C0582">
            <w:rPr>
              <w:rFonts w:cs="Arial"/>
              <w:szCs w:val="24"/>
            </w:rPr>
            <w:t xml:space="preserve"> – </w:t>
          </w:r>
          <w:r>
            <w:rPr>
              <w:rFonts w:cs="Arial"/>
              <w:szCs w:val="24"/>
            </w:rPr>
            <w:t xml:space="preserve">Absence d’interdictions de soumissionner </w:t>
          </w:r>
          <w:r w:rsidR="00482F27" w:rsidRPr="009C0582">
            <w:rPr>
              <w:rFonts w:cs="Arial"/>
              <w:szCs w:val="24"/>
            </w:rPr>
            <w:t>–</w:t>
          </w:r>
          <w:r>
            <w:rPr>
              <w:rFonts w:cs="Arial"/>
              <w:szCs w:val="24"/>
            </w:rPr>
            <w:t xml:space="preserve"> </w:t>
          </w:r>
          <w:r w:rsidRPr="009C0582">
            <w:rPr>
              <w:rFonts w:cs="Arial"/>
              <w:szCs w:val="24"/>
            </w:rPr>
            <w:t>Aptitude à exercer l’activité professionnelle, capacités techniques et professionnelles, capacités économiques et financières</w:t>
          </w:r>
          <w:r w:rsidR="001F327B">
            <w:rPr>
              <w:rFonts w:cs="Arial"/>
              <w:szCs w:val="24"/>
            </w:rPr>
            <w:t xml:space="preserve"> – Références pour des prestations </w:t>
          </w:r>
          <w:r w:rsidR="002C4FCC">
            <w:rPr>
              <w:rFonts w:cs="Arial"/>
              <w:szCs w:val="24"/>
            </w:rPr>
            <w:t>de complexité similaire</w:t>
          </w:r>
          <w:r w:rsidR="001F327B">
            <w:rPr>
              <w:rFonts w:cs="Arial"/>
              <w:szCs w:val="24"/>
            </w:rPr>
            <w:t>.</w:t>
          </w:r>
        </w:p>
        <w:p w14:paraId="65D99F6E" w14:textId="77777777" w:rsidR="009C0582" w:rsidRPr="009C0582" w:rsidRDefault="009C0582" w:rsidP="009C0582">
          <w:pPr>
            <w:rPr>
              <w:rFonts w:cs="Arial"/>
              <w:szCs w:val="24"/>
            </w:rPr>
          </w:pPr>
        </w:p>
        <w:p w14:paraId="68C63D96" w14:textId="199251CE" w:rsidR="009C0582" w:rsidRDefault="009C0582" w:rsidP="009C0582">
          <w:pPr>
            <w:rPr>
              <w:rFonts w:cs="Arial"/>
              <w:szCs w:val="24"/>
            </w:rPr>
          </w:pPr>
          <w:r w:rsidRPr="009C0582">
            <w:rPr>
              <w:rFonts w:cs="Arial"/>
              <w:b/>
              <w:szCs w:val="24"/>
            </w:rPr>
            <w:t>Phase d’offre</w:t>
          </w:r>
          <w:r w:rsidRPr="009C0582">
            <w:rPr>
              <w:rFonts w:cs="Arial"/>
              <w:szCs w:val="24"/>
            </w:rPr>
            <w:t xml:space="preserve"> – Offre économiquement la plus avantageuse appréciée en fonction de critères de jugement objectifs, non discriminatoires et liés à l’objet du marché</w:t>
          </w:r>
          <w:r>
            <w:rPr>
              <w:rFonts w:cs="Arial"/>
              <w:szCs w:val="24"/>
            </w:rPr>
            <w:t xml:space="preserve"> et à ses conditions d’exécution.</w:t>
          </w:r>
        </w:p>
        <w:p w14:paraId="1D591E2F" w14:textId="77777777" w:rsidR="0027314F" w:rsidRPr="009C0582" w:rsidRDefault="0027314F" w:rsidP="009C0582">
          <w:pPr>
            <w:rPr>
              <w:rFonts w:cs="Arial"/>
              <w:szCs w:val="24"/>
            </w:rPr>
          </w:pPr>
        </w:p>
        <w:tbl>
          <w:tblPr>
            <w:tblStyle w:val="Grilledutableau1"/>
            <w:tblW w:w="0" w:type="auto"/>
            <w:jc w:val="center"/>
            <w:tblLayout w:type="fixed"/>
            <w:tblLook w:val="04A0" w:firstRow="1" w:lastRow="0" w:firstColumn="1" w:lastColumn="0" w:noHBand="0" w:noVBand="1"/>
          </w:tblPr>
          <w:tblGrid>
            <w:gridCol w:w="1980"/>
            <w:gridCol w:w="1510"/>
            <w:gridCol w:w="5577"/>
          </w:tblGrid>
          <w:tr w:rsidR="008871FC" w:rsidRPr="00E614E8" w14:paraId="210FD615" w14:textId="77777777" w:rsidTr="008871FC">
            <w:trPr>
              <w:jc w:val="center"/>
            </w:trPr>
            <w:tc>
              <w:tcPr>
                <w:tcW w:w="1980" w:type="dxa"/>
                <w:shd w:val="clear" w:color="auto" w:fill="B2C4DA" w:themeFill="accent6" w:themeFillTint="99"/>
                <w:vAlign w:val="center"/>
              </w:tcPr>
              <w:p w14:paraId="2532C432" w14:textId="77777777" w:rsidR="008871FC" w:rsidRPr="00E614E8" w:rsidRDefault="008871FC" w:rsidP="00484B38">
                <w:pPr>
                  <w:jc w:val="center"/>
                  <w:rPr>
                    <w:rFonts w:asciiTheme="majorHAnsi" w:hAnsiTheme="majorHAnsi" w:cstheme="majorHAnsi"/>
                    <w:b/>
                  </w:rPr>
                </w:pPr>
                <w:r w:rsidRPr="00E614E8">
                  <w:rPr>
                    <w:rFonts w:asciiTheme="majorHAnsi" w:hAnsiTheme="majorHAnsi" w:cstheme="majorHAnsi"/>
                    <w:b/>
                  </w:rPr>
                  <w:t>Critères d’attribution</w:t>
                </w:r>
              </w:p>
            </w:tc>
            <w:tc>
              <w:tcPr>
                <w:tcW w:w="1510" w:type="dxa"/>
                <w:shd w:val="clear" w:color="auto" w:fill="B2C4DA" w:themeFill="accent6" w:themeFillTint="99"/>
                <w:vAlign w:val="center"/>
              </w:tcPr>
              <w:p w14:paraId="279D8B08" w14:textId="77777777" w:rsidR="008871FC" w:rsidRPr="00E614E8" w:rsidRDefault="008871FC" w:rsidP="00484B38">
                <w:pPr>
                  <w:jc w:val="center"/>
                  <w:rPr>
                    <w:rFonts w:asciiTheme="majorHAnsi" w:hAnsiTheme="majorHAnsi" w:cstheme="majorHAnsi"/>
                    <w:b/>
                  </w:rPr>
                </w:pPr>
                <w:r w:rsidRPr="00E614E8">
                  <w:rPr>
                    <w:rFonts w:asciiTheme="majorHAnsi" w:hAnsiTheme="majorHAnsi" w:cstheme="majorHAnsi"/>
                    <w:b/>
                  </w:rPr>
                  <w:t>Pondération</w:t>
                </w:r>
              </w:p>
            </w:tc>
            <w:tc>
              <w:tcPr>
                <w:tcW w:w="5577" w:type="dxa"/>
                <w:shd w:val="clear" w:color="auto" w:fill="B2C4DA" w:themeFill="accent6" w:themeFillTint="99"/>
                <w:vAlign w:val="center"/>
              </w:tcPr>
              <w:p w14:paraId="61EB75B7" w14:textId="77777777" w:rsidR="008871FC" w:rsidRPr="00E614E8" w:rsidRDefault="008871FC" w:rsidP="00484B38">
                <w:pPr>
                  <w:jc w:val="center"/>
                  <w:rPr>
                    <w:rFonts w:asciiTheme="majorHAnsi" w:hAnsiTheme="majorHAnsi" w:cstheme="majorHAnsi"/>
                    <w:b/>
                  </w:rPr>
                </w:pPr>
              </w:p>
            </w:tc>
          </w:tr>
          <w:tr w:rsidR="008871FC" w:rsidRPr="00E614E8" w14:paraId="54738213" w14:textId="77777777" w:rsidTr="008871FC">
            <w:trPr>
              <w:trHeight w:val="591"/>
              <w:jc w:val="center"/>
            </w:trPr>
            <w:tc>
              <w:tcPr>
                <w:tcW w:w="1980" w:type="dxa"/>
                <w:vAlign w:val="center"/>
              </w:tcPr>
              <w:p w14:paraId="7794ACFB" w14:textId="77777777" w:rsidR="008871FC" w:rsidRPr="00E614E8" w:rsidRDefault="008871FC" w:rsidP="00484B38">
                <w:pPr>
                  <w:jc w:val="center"/>
                  <w:rPr>
                    <w:rFonts w:asciiTheme="majorHAnsi" w:hAnsiTheme="majorHAnsi" w:cstheme="majorHAnsi"/>
                    <w:b/>
                    <w:bCs/>
                  </w:rPr>
                </w:pPr>
                <w:r w:rsidRPr="00E614E8">
                  <w:rPr>
                    <w:rFonts w:asciiTheme="majorHAnsi" w:hAnsiTheme="majorHAnsi" w:cstheme="majorHAnsi"/>
                    <w:b/>
                    <w:bCs/>
                  </w:rPr>
                  <w:t>Prix</w:t>
                </w:r>
              </w:p>
            </w:tc>
            <w:tc>
              <w:tcPr>
                <w:tcW w:w="1510" w:type="dxa"/>
                <w:vAlign w:val="center"/>
              </w:tcPr>
              <w:p w14:paraId="1DBD12B8" w14:textId="70FE8493" w:rsidR="008871FC" w:rsidRPr="00E614E8" w:rsidRDefault="00EF0F5B" w:rsidP="00484B38">
                <w:pPr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Theme="majorHAnsi" w:hAnsiTheme="majorHAnsi" w:cstheme="majorHAnsi"/>
                  </w:rPr>
                  <w:t>3</w:t>
                </w:r>
                <w:r w:rsidR="008871FC">
                  <w:rPr>
                    <w:rFonts w:asciiTheme="majorHAnsi" w:hAnsiTheme="majorHAnsi" w:cstheme="majorHAnsi"/>
                  </w:rPr>
                  <w:t>0</w:t>
                </w:r>
              </w:p>
            </w:tc>
            <w:tc>
              <w:tcPr>
                <w:tcW w:w="5577" w:type="dxa"/>
                <w:vAlign w:val="center"/>
              </w:tcPr>
              <w:p w14:paraId="7983E84B" w14:textId="0AF025E8" w:rsidR="008871FC" w:rsidRPr="00E614E8" w:rsidRDefault="008871FC" w:rsidP="00482F27">
                <w:pPr>
                  <w:jc w:val="center"/>
                  <w:rPr>
                    <w:rFonts w:asciiTheme="majorHAnsi" w:hAnsiTheme="majorHAnsi" w:cstheme="majorHAnsi"/>
                  </w:rPr>
                </w:pPr>
                <w:r w:rsidRPr="00E614E8">
                  <w:rPr>
                    <w:rFonts w:asciiTheme="majorHAnsi" w:hAnsiTheme="majorHAnsi" w:cstheme="majorHAnsi"/>
                  </w:rPr>
                  <w:t xml:space="preserve">Sur la base de l’annexe financière </w:t>
                </w:r>
                <w:r w:rsidR="00482F27">
                  <w:rPr>
                    <w:rFonts w:asciiTheme="majorHAnsi" w:hAnsiTheme="majorHAnsi" w:cstheme="majorHAnsi"/>
                  </w:rPr>
                  <w:t>-</w:t>
                </w:r>
                <w:r w:rsidRPr="00E614E8">
                  <w:rPr>
                    <w:rFonts w:asciiTheme="majorHAnsi" w:hAnsiTheme="majorHAnsi" w:cstheme="majorHAnsi"/>
                  </w:rPr>
                  <w:t xml:space="preserve"> Le prix sera décom</w:t>
                </w:r>
                <w:r w:rsidR="00482F27">
                  <w:rPr>
                    <w:rFonts w:asciiTheme="majorHAnsi" w:hAnsiTheme="majorHAnsi" w:cstheme="majorHAnsi"/>
                  </w:rPr>
                  <w:t>posé forfaitairement par tranche</w:t>
                </w:r>
              </w:p>
            </w:tc>
          </w:tr>
          <w:tr w:rsidR="008871FC" w:rsidRPr="00E614E8" w14:paraId="198E0B21" w14:textId="77777777" w:rsidTr="008871FC">
            <w:trPr>
              <w:trHeight w:val="601"/>
              <w:jc w:val="center"/>
            </w:trPr>
            <w:tc>
              <w:tcPr>
                <w:tcW w:w="1980" w:type="dxa"/>
                <w:vAlign w:val="center"/>
              </w:tcPr>
              <w:p w14:paraId="6E52046B" w14:textId="7E6BFD21" w:rsidR="008871FC" w:rsidRPr="00E614E8" w:rsidRDefault="00EF0F5B" w:rsidP="00EF0F5B">
                <w:pPr>
                  <w:jc w:val="center"/>
                  <w:rPr>
                    <w:rFonts w:asciiTheme="majorHAnsi" w:hAnsiTheme="majorHAnsi" w:cstheme="majorHAnsi"/>
                    <w:b/>
                    <w:bCs/>
                  </w:rPr>
                </w:pPr>
                <w:r>
                  <w:rPr>
                    <w:rFonts w:asciiTheme="majorHAnsi" w:hAnsiTheme="majorHAnsi" w:cstheme="majorHAnsi"/>
                    <w:b/>
                    <w:bCs/>
                  </w:rPr>
                  <w:t>Compréhension de la mission</w:t>
                </w:r>
              </w:p>
            </w:tc>
            <w:tc>
              <w:tcPr>
                <w:tcW w:w="1510" w:type="dxa"/>
                <w:vAlign w:val="center"/>
              </w:tcPr>
              <w:p w14:paraId="5B805DD4" w14:textId="1F6B0715" w:rsidR="008871FC" w:rsidRPr="00E614E8" w:rsidRDefault="00482F27" w:rsidP="00484B38">
                <w:pPr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Theme="majorHAnsi" w:hAnsiTheme="majorHAnsi" w:cstheme="majorHAnsi"/>
                  </w:rPr>
                  <w:t>2</w:t>
                </w:r>
                <w:r w:rsidR="008871FC">
                  <w:rPr>
                    <w:rFonts w:asciiTheme="majorHAnsi" w:hAnsiTheme="majorHAnsi" w:cstheme="majorHAnsi"/>
                  </w:rPr>
                  <w:t>0</w:t>
                </w:r>
              </w:p>
            </w:tc>
            <w:tc>
              <w:tcPr>
                <w:tcW w:w="5577" w:type="dxa"/>
                <w:vAlign w:val="center"/>
              </w:tcPr>
              <w:p w14:paraId="669C69A7" w14:textId="3DEE59DE" w:rsidR="008871FC" w:rsidRPr="00E614E8" w:rsidRDefault="00F764EA" w:rsidP="00F764EA">
                <w:pPr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Theme="majorHAnsi" w:hAnsiTheme="majorHAnsi" w:cstheme="majorHAnsi"/>
                  </w:rPr>
                  <w:t>M</w:t>
                </w:r>
                <w:r w:rsidR="00482F27">
                  <w:rPr>
                    <w:rFonts w:asciiTheme="majorHAnsi" w:hAnsiTheme="majorHAnsi" w:cstheme="majorHAnsi"/>
                  </w:rPr>
                  <w:t xml:space="preserve">utualisation des surfaces, sobriété environnementale, </w:t>
                </w:r>
                <w:r>
                  <w:rPr>
                    <w:rFonts w:asciiTheme="majorHAnsi" w:hAnsiTheme="majorHAnsi" w:cstheme="majorHAnsi"/>
                  </w:rPr>
                  <w:t xml:space="preserve">prise en compte du site et du contexte, travail en scénarios, </w:t>
                </w:r>
                <w:r w:rsidR="00482F27">
                  <w:rPr>
                    <w:rFonts w:asciiTheme="majorHAnsi" w:hAnsiTheme="majorHAnsi" w:cstheme="majorHAnsi"/>
                  </w:rPr>
                  <w:t>concertation</w:t>
                </w:r>
              </w:p>
            </w:tc>
          </w:tr>
          <w:tr w:rsidR="00F764EA" w:rsidRPr="00E614E8" w14:paraId="7C519114" w14:textId="77777777" w:rsidTr="008871FC">
            <w:trPr>
              <w:trHeight w:val="425"/>
              <w:jc w:val="center"/>
            </w:trPr>
            <w:tc>
              <w:tcPr>
                <w:tcW w:w="1980" w:type="dxa"/>
                <w:vAlign w:val="center"/>
              </w:tcPr>
              <w:p w14:paraId="4B8D0386" w14:textId="2BD5F46D" w:rsidR="00F764EA" w:rsidRDefault="00F764EA" w:rsidP="00F764EA">
                <w:pPr>
                  <w:jc w:val="center"/>
                  <w:rPr>
                    <w:rFonts w:asciiTheme="majorHAnsi" w:hAnsiTheme="majorHAnsi" w:cstheme="majorHAnsi"/>
                    <w:b/>
                    <w:bCs/>
                  </w:rPr>
                </w:pPr>
                <w:r>
                  <w:rPr>
                    <w:rFonts w:asciiTheme="majorHAnsi" w:hAnsiTheme="majorHAnsi" w:cstheme="majorHAnsi"/>
                    <w:b/>
                    <w:bCs/>
                  </w:rPr>
                  <w:t>Délais d’exécution</w:t>
                </w:r>
              </w:p>
            </w:tc>
            <w:tc>
              <w:tcPr>
                <w:tcW w:w="1510" w:type="dxa"/>
                <w:vAlign w:val="center"/>
              </w:tcPr>
              <w:p w14:paraId="7BCD121A" w14:textId="4A0EC726" w:rsidR="00F764EA" w:rsidRDefault="00F764EA" w:rsidP="00F764EA">
                <w:pPr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Theme="majorHAnsi" w:hAnsiTheme="majorHAnsi" w:cstheme="majorHAnsi"/>
                  </w:rPr>
                  <w:t>15</w:t>
                </w:r>
              </w:p>
            </w:tc>
            <w:tc>
              <w:tcPr>
                <w:tcW w:w="5577" w:type="dxa"/>
                <w:vAlign w:val="center"/>
              </w:tcPr>
              <w:p w14:paraId="053C7B44" w14:textId="33FAD692" w:rsidR="00F764EA" w:rsidRDefault="00F764EA" w:rsidP="00F764EA">
                <w:pPr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Theme="majorHAnsi" w:hAnsiTheme="majorHAnsi" w:cstheme="majorHAnsi"/>
                    <w:bCs/>
                  </w:rPr>
                  <w:t>Délais d’exécution sur la base du planning prévisionnel de réalisation des prestations</w:t>
                </w:r>
              </w:p>
            </w:tc>
          </w:tr>
          <w:tr w:rsidR="00F764EA" w:rsidRPr="00E614E8" w14:paraId="45BD28DD" w14:textId="77777777" w:rsidTr="008871FC">
            <w:trPr>
              <w:trHeight w:val="425"/>
              <w:jc w:val="center"/>
            </w:trPr>
            <w:tc>
              <w:tcPr>
                <w:tcW w:w="1980" w:type="dxa"/>
                <w:vAlign w:val="center"/>
              </w:tcPr>
              <w:p w14:paraId="0A4810C1" w14:textId="2BF7E733" w:rsidR="00F764EA" w:rsidRDefault="00F764EA" w:rsidP="00F764EA">
                <w:pPr>
                  <w:jc w:val="center"/>
                  <w:rPr>
                    <w:rFonts w:asciiTheme="majorHAnsi" w:hAnsiTheme="majorHAnsi" w:cstheme="majorHAnsi"/>
                    <w:b/>
                    <w:bCs/>
                  </w:rPr>
                </w:pPr>
                <w:r>
                  <w:rPr>
                    <w:rFonts w:asciiTheme="majorHAnsi" w:hAnsiTheme="majorHAnsi" w:cstheme="majorHAnsi"/>
                    <w:b/>
                    <w:bCs/>
                  </w:rPr>
                  <w:t xml:space="preserve">Organisation et répartition </w:t>
                </w:r>
              </w:p>
            </w:tc>
            <w:tc>
              <w:tcPr>
                <w:tcW w:w="1510" w:type="dxa"/>
                <w:vAlign w:val="center"/>
              </w:tcPr>
              <w:p w14:paraId="09B781CD" w14:textId="606D4AF2" w:rsidR="00F764EA" w:rsidRDefault="00F764EA" w:rsidP="00F764EA">
                <w:pPr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Theme="majorHAnsi" w:hAnsiTheme="majorHAnsi" w:cstheme="majorHAnsi"/>
                  </w:rPr>
                  <w:t>15</w:t>
                </w:r>
              </w:p>
            </w:tc>
            <w:tc>
              <w:tcPr>
                <w:tcW w:w="5577" w:type="dxa"/>
                <w:vAlign w:val="center"/>
              </w:tcPr>
              <w:p w14:paraId="5FFB4619" w14:textId="553E3D1F" w:rsidR="00F764EA" w:rsidRDefault="00F764EA" w:rsidP="00E174D1">
                <w:pPr>
                  <w:jc w:val="center"/>
                  <w:rPr>
                    <w:rFonts w:asciiTheme="majorHAnsi" w:hAnsiTheme="majorHAnsi" w:cstheme="majorHAnsi"/>
                  </w:rPr>
                </w:pPr>
                <w:r w:rsidRPr="00A97320">
                  <w:rPr>
                    <w:rFonts w:asciiTheme="majorHAnsi" w:hAnsiTheme="majorHAnsi" w:cstheme="majorHAnsi"/>
                    <w:bCs/>
                  </w:rPr>
                  <w:t>Organisation des relations entre intervenants</w:t>
                </w:r>
                <w:r w:rsidR="00E174D1">
                  <w:rPr>
                    <w:rFonts w:asciiTheme="majorHAnsi" w:hAnsiTheme="majorHAnsi" w:cstheme="majorHAnsi"/>
                    <w:bCs/>
                  </w:rPr>
                  <w:t xml:space="preserve"> et </w:t>
                </w:r>
                <w:r>
                  <w:rPr>
                    <w:rFonts w:asciiTheme="majorHAnsi" w:hAnsiTheme="majorHAnsi" w:cstheme="majorHAnsi"/>
                    <w:bCs/>
                  </w:rPr>
                  <w:t>répartition des tâches de l’équipe</w:t>
                </w:r>
              </w:p>
            </w:tc>
          </w:tr>
          <w:tr w:rsidR="00F764EA" w:rsidRPr="00E614E8" w14:paraId="33DD3482" w14:textId="77777777" w:rsidTr="008871FC">
            <w:trPr>
              <w:trHeight w:val="425"/>
              <w:jc w:val="center"/>
            </w:trPr>
            <w:tc>
              <w:tcPr>
                <w:tcW w:w="1980" w:type="dxa"/>
                <w:vAlign w:val="center"/>
              </w:tcPr>
              <w:p w14:paraId="794DB432" w14:textId="5FA564C9" w:rsidR="00F764EA" w:rsidRPr="00E614E8" w:rsidRDefault="00F764EA" w:rsidP="00F764EA">
                <w:pPr>
                  <w:jc w:val="center"/>
                  <w:rPr>
                    <w:rFonts w:asciiTheme="majorHAnsi" w:hAnsiTheme="majorHAnsi" w:cstheme="majorHAnsi"/>
                    <w:b/>
                    <w:bCs/>
                  </w:rPr>
                </w:pPr>
                <w:r>
                  <w:rPr>
                    <w:rFonts w:asciiTheme="majorHAnsi" w:hAnsiTheme="majorHAnsi" w:cstheme="majorHAnsi"/>
                    <w:b/>
                    <w:bCs/>
                  </w:rPr>
                  <w:t>Mode opératoire</w:t>
                </w:r>
              </w:p>
            </w:tc>
            <w:tc>
              <w:tcPr>
                <w:tcW w:w="1510" w:type="dxa"/>
                <w:vAlign w:val="center"/>
              </w:tcPr>
              <w:p w14:paraId="3506DFBF" w14:textId="40F7F10C" w:rsidR="00F764EA" w:rsidRPr="00E614E8" w:rsidRDefault="00F764EA" w:rsidP="00F764EA">
                <w:pPr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Theme="majorHAnsi" w:hAnsiTheme="majorHAnsi" w:cstheme="majorHAnsi"/>
                  </w:rPr>
                  <w:t>10</w:t>
                </w:r>
              </w:p>
            </w:tc>
            <w:tc>
              <w:tcPr>
                <w:tcW w:w="5577" w:type="dxa"/>
                <w:vAlign w:val="center"/>
              </w:tcPr>
              <w:p w14:paraId="63C26658" w14:textId="21FB73E7" w:rsidR="00F764EA" w:rsidRPr="00E614E8" w:rsidRDefault="00F764EA" w:rsidP="00F764EA">
                <w:pPr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Theme="majorHAnsi" w:hAnsiTheme="majorHAnsi" w:cstheme="majorHAnsi"/>
                  </w:rPr>
                  <w:t>Mode opératoire d’intervention du ou des opérateurs, notamment du mandataire, cotraitants et sous-traitants éventuels</w:t>
                </w:r>
              </w:p>
            </w:tc>
          </w:tr>
          <w:tr w:rsidR="00F764EA" w:rsidRPr="00E614E8" w14:paraId="46D189CB" w14:textId="77777777" w:rsidTr="008871FC">
            <w:trPr>
              <w:trHeight w:val="425"/>
              <w:jc w:val="center"/>
            </w:trPr>
            <w:tc>
              <w:tcPr>
                <w:tcW w:w="1980" w:type="dxa"/>
                <w:vAlign w:val="center"/>
              </w:tcPr>
              <w:p w14:paraId="176CC45D" w14:textId="27C41525" w:rsidR="00F764EA" w:rsidRDefault="00F764EA" w:rsidP="00F764EA">
                <w:pPr>
                  <w:jc w:val="center"/>
                  <w:rPr>
                    <w:rFonts w:asciiTheme="majorHAnsi" w:hAnsiTheme="majorHAnsi" w:cstheme="majorHAnsi"/>
                    <w:b/>
                    <w:bCs/>
                  </w:rPr>
                </w:pPr>
                <w:r>
                  <w:rPr>
                    <w:rFonts w:asciiTheme="majorHAnsi" w:hAnsiTheme="majorHAnsi" w:cstheme="majorHAnsi"/>
                    <w:b/>
                    <w:bCs/>
                  </w:rPr>
                  <w:t>Moyens</w:t>
                </w:r>
              </w:p>
            </w:tc>
            <w:tc>
              <w:tcPr>
                <w:tcW w:w="1510" w:type="dxa"/>
                <w:vAlign w:val="center"/>
              </w:tcPr>
              <w:p w14:paraId="42B5DB28" w14:textId="012C7051" w:rsidR="00F764EA" w:rsidRDefault="00F764EA" w:rsidP="00F764EA">
                <w:pPr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Theme="majorHAnsi" w:hAnsiTheme="majorHAnsi" w:cstheme="majorHAnsi"/>
                  </w:rPr>
                  <w:t>10</w:t>
                </w:r>
              </w:p>
            </w:tc>
            <w:tc>
              <w:tcPr>
                <w:tcW w:w="5577" w:type="dxa"/>
                <w:vAlign w:val="center"/>
              </w:tcPr>
              <w:p w14:paraId="55A57049" w14:textId="5DD62282" w:rsidR="00F764EA" w:rsidRDefault="00F764EA" w:rsidP="00F764EA">
                <w:pPr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Theme="majorHAnsi" w:hAnsiTheme="majorHAnsi" w:cstheme="majorHAnsi"/>
                  </w:rPr>
                  <w:t>Moyens humains et matériels mobilisés pour le projet</w:t>
                </w:r>
              </w:p>
            </w:tc>
          </w:tr>
        </w:tbl>
        <w:p w14:paraId="7FE686C1" w14:textId="5737B065" w:rsidR="009C0582" w:rsidRDefault="009C0582" w:rsidP="009C0582">
          <w:pPr>
            <w:rPr>
              <w:rFonts w:cs="Arial"/>
              <w:szCs w:val="24"/>
            </w:rPr>
          </w:pPr>
        </w:p>
        <w:p w14:paraId="49CC9FA3" w14:textId="199976AC" w:rsidR="009C0582" w:rsidRDefault="009C0582" w:rsidP="008871FC">
          <w:r w:rsidRPr="009C0582">
            <w:rPr>
              <w:rFonts w:cs="Arial"/>
              <w:szCs w:val="24"/>
            </w:rPr>
            <w:t xml:space="preserve">Tous les détails sont fixés dans </w:t>
          </w:r>
          <w:r w:rsidR="00E53DC5">
            <w:rPr>
              <w:rFonts w:cs="Arial"/>
              <w:szCs w:val="24"/>
            </w:rPr>
            <w:t>les documents de la consultation</w:t>
          </w:r>
          <w:r w:rsidRPr="009C0582">
            <w:rPr>
              <w:rFonts w:cs="Arial"/>
              <w:szCs w:val="24"/>
            </w:rPr>
            <w:t xml:space="preserve"> à télécharger </w:t>
          </w:r>
          <w:r w:rsidR="00E53DC5">
            <w:rPr>
              <w:rFonts w:cs="Arial"/>
              <w:szCs w:val="24"/>
            </w:rPr>
            <w:t xml:space="preserve">gratuitement </w:t>
          </w:r>
          <w:r w:rsidRPr="009C0582">
            <w:rPr>
              <w:rFonts w:cs="Arial"/>
              <w:szCs w:val="24"/>
            </w:rPr>
            <w:t xml:space="preserve">sur le profil d’acheteur : </w:t>
          </w:r>
          <w:hyperlink r:id="rId5" w:history="1">
            <w:r w:rsidR="00F764EA" w:rsidRPr="0057688A">
              <w:rPr>
                <w:rStyle w:val="Lienhypertexte"/>
              </w:rPr>
              <w:t>https://marchespublics596280.fr</w:t>
            </w:r>
          </w:hyperlink>
        </w:p>
        <w:p w14:paraId="2263A174" w14:textId="77777777" w:rsidR="009C0582" w:rsidRPr="00152532" w:rsidRDefault="009C0582" w:rsidP="008317D3">
          <w:pPr>
            <w:pStyle w:val="Sous-titre"/>
          </w:pPr>
          <w:r w:rsidRPr="00152532">
            <w:t>Transmission des candidatures et des offres</w:t>
          </w:r>
        </w:p>
        <w:p w14:paraId="6335995C" w14:textId="183D7C70" w:rsidR="009C0582" w:rsidRPr="00F764EA" w:rsidRDefault="009C0582" w:rsidP="009C0582">
          <w:pPr>
            <w:tabs>
              <w:tab w:val="right" w:leader="dot" w:pos="9639"/>
            </w:tabs>
            <w:rPr>
              <w:rFonts w:cs="Arial"/>
            </w:rPr>
          </w:pPr>
          <w:r w:rsidRPr="00B07AF8">
            <w:rPr>
              <w:rFonts w:cs="Arial"/>
              <w:b/>
            </w:rPr>
            <w:t>Date et heure limite de dépôt</w:t>
          </w:r>
          <w:r w:rsidR="002F6270">
            <w:rPr>
              <w:rFonts w:cs="Arial"/>
              <w:b/>
            </w:rPr>
            <w:t xml:space="preserve"> des candidatures</w:t>
          </w:r>
          <w:r>
            <w:rPr>
              <w:rFonts w:cs="Arial"/>
            </w:rPr>
            <w:t xml:space="preserve"> : </w:t>
          </w:r>
          <w:r w:rsidR="002F6270" w:rsidRPr="00F764EA">
            <w:rPr>
              <w:rFonts w:cs="Arial"/>
              <w:b/>
              <w:bCs/>
            </w:rPr>
            <w:t>lun</w:t>
          </w:r>
          <w:r w:rsidR="00F764EA">
            <w:rPr>
              <w:rFonts w:cs="Arial"/>
              <w:b/>
              <w:bCs/>
            </w:rPr>
            <w:t>di 12 juin</w:t>
          </w:r>
          <w:r w:rsidR="008871FC" w:rsidRPr="00F764EA">
            <w:rPr>
              <w:rFonts w:cs="Arial"/>
              <w:b/>
              <w:bCs/>
            </w:rPr>
            <w:t xml:space="preserve"> 202</w:t>
          </w:r>
          <w:r w:rsidR="002F6270" w:rsidRPr="00F764EA">
            <w:rPr>
              <w:rFonts w:cs="Arial"/>
              <w:b/>
              <w:bCs/>
            </w:rPr>
            <w:t>3</w:t>
          </w:r>
          <w:r w:rsidR="00F764EA">
            <w:rPr>
              <w:rFonts w:cs="Arial"/>
              <w:b/>
              <w:bCs/>
            </w:rPr>
            <w:t xml:space="preserve"> à 16</w:t>
          </w:r>
          <w:r w:rsidR="008871FC" w:rsidRPr="00F764EA">
            <w:rPr>
              <w:rFonts w:cs="Arial"/>
              <w:b/>
              <w:bCs/>
            </w:rPr>
            <w:t>h00</w:t>
          </w:r>
        </w:p>
        <w:p w14:paraId="745A4AE6" w14:textId="54125057" w:rsidR="009C0582" w:rsidRDefault="008871FC" w:rsidP="008317D3">
          <w:pPr>
            <w:pStyle w:val="Sous-titre"/>
          </w:pPr>
          <w:r>
            <w:t>D</w:t>
          </w:r>
          <w:r w:rsidR="009C0582">
            <w:t>ate d’envoi d</w:t>
          </w:r>
          <w:r w:rsidR="0027314F">
            <w:t>e l</w:t>
          </w:r>
          <w:r w:rsidR="009C0582">
            <w:t>’avis d’appel à la concurrence</w:t>
          </w:r>
        </w:p>
        <w:p w14:paraId="48C71BE0" w14:textId="70710F73" w:rsidR="00BE7CE1" w:rsidRPr="00F764EA" w:rsidRDefault="00596E26">
          <w:pPr>
            <w:rPr>
              <w:rFonts w:cs="Arial"/>
            </w:rPr>
          </w:pPr>
          <w:r>
            <w:rPr>
              <w:rFonts w:cs="Arial"/>
            </w:rPr>
            <w:t>Jeudi 25</w:t>
          </w:r>
          <w:bookmarkStart w:id="2" w:name="_GoBack"/>
          <w:bookmarkEnd w:id="2"/>
          <w:r w:rsidR="00F764EA">
            <w:rPr>
              <w:rFonts w:cs="Arial"/>
            </w:rPr>
            <w:t xml:space="preserve"> mai </w:t>
          </w:r>
          <w:r w:rsidR="008871FC">
            <w:rPr>
              <w:rFonts w:cs="Arial"/>
            </w:rPr>
            <w:t>202</w:t>
          </w:r>
          <w:r w:rsidR="00482F27">
            <w:rPr>
              <w:rFonts w:cs="Arial"/>
            </w:rPr>
            <w:t>3</w:t>
          </w:r>
        </w:p>
      </w:sdtContent>
    </w:sdt>
    <w:sectPr w:rsidR="00BE7CE1" w:rsidRPr="00F764EA" w:rsidSect="008267B7">
      <w:pgSz w:w="11906" w:h="16838" w:code="9"/>
      <w:pgMar w:top="851" w:right="1134" w:bottom="851" w:left="567" w:header="567" w:footer="567" w:gutter="567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F72EF"/>
    <w:multiLevelType w:val="multilevel"/>
    <w:tmpl w:val="CB88D51A"/>
    <w:lvl w:ilvl="0">
      <w:start w:val="1"/>
      <w:numFmt w:val="decimal"/>
      <w:pStyle w:val="Titre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383A350C"/>
    <w:multiLevelType w:val="hybridMultilevel"/>
    <w:tmpl w:val="C0063BC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8D4E83"/>
    <w:multiLevelType w:val="multilevel"/>
    <w:tmpl w:val="76D67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4BA6DB8"/>
    <w:multiLevelType w:val="hybridMultilevel"/>
    <w:tmpl w:val="07BC07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3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582"/>
    <w:rsid w:val="00024B8A"/>
    <w:rsid w:val="000C69BA"/>
    <w:rsid w:val="00152532"/>
    <w:rsid w:val="00161084"/>
    <w:rsid w:val="00186B6D"/>
    <w:rsid w:val="001F327B"/>
    <w:rsid w:val="00215F70"/>
    <w:rsid w:val="002250A1"/>
    <w:rsid w:val="002351C0"/>
    <w:rsid w:val="0027314F"/>
    <w:rsid w:val="002924FB"/>
    <w:rsid w:val="002C4FCC"/>
    <w:rsid w:val="002E5B50"/>
    <w:rsid w:val="002F6270"/>
    <w:rsid w:val="00336E29"/>
    <w:rsid w:val="00482F27"/>
    <w:rsid w:val="004F2B4F"/>
    <w:rsid w:val="00596E26"/>
    <w:rsid w:val="006478A0"/>
    <w:rsid w:val="00740AEE"/>
    <w:rsid w:val="007B4875"/>
    <w:rsid w:val="007E7EAB"/>
    <w:rsid w:val="00821AF1"/>
    <w:rsid w:val="008317D3"/>
    <w:rsid w:val="008871FC"/>
    <w:rsid w:val="008B5FAE"/>
    <w:rsid w:val="008F1FC8"/>
    <w:rsid w:val="009254CB"/>
    <w:rsid w:val="009C0582"/>
    <w:rsid w:val="00A97320"/>
    <w:rsid w:val="00AA6B3A"/>
    <w:rsid w:val="00AB1A34"/>
    <w:rsid w:val="00B155AB"/>
    <w:rsid w:val="00BE7CE1"/>
    <w:rsid w:val="00CA3F59"/>
    <w:rsid w:val="00CD6F36"/>
    <w:rsid w:val="00D852CE"/>
    <w:rsid w:val="00DA4F12"/>
    <w:rsid w:val="00E171D6"/>
    <w:rsid w:val="00E174D1"/>
    <w:rsid w:val="00E24FEF"/>
    <w:rsid w:val="00E35513"/>
    <w:rsid w:val="00E53DC5"/>
    <w:rsid w:val="00EA5FDB"/>
    <w:rsid w:val="00EB3559"/>
    <w:rsid w:val="00EF0F5B"/>
    <w:rsid w:val="00F764EA"/>
    <w:rsid w:val="00FD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D27DD"/>
  <w15:chartTrackingRefBased/>
  <w15:docId w15:val="{5D7FE786-1A5E-4873-9EFC-E10741FC6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582"/>
    <w:pPr>
      <w:contextualSpacing/>
      <w:jc w:val="both"/>
    </w:pPr>
    <w:rPr>
      <w:rFonts w:eastAsiaTheme="minorEastAsia"/>
      <w:szCs w:val="20"/>
    </w:rPr>
  </w:style>
  <w:style w:type="paragraph" w:styleId="Titre1">
    <w:name w:val="heading 1"/>
    <w:aliases w:val="Chapitre"/>
    <w:basedOn w:val="Normal"/>
    <w:next w:val="Normal"/>
    <w:link w:val="Titre1Car"/>
    <w:autoRedefine/>
    <w:uiPriority w:val="9"/>
    <w:qFormat/>
    <w:rsid w:val="00AA6B3A"/>
    <w:pPr>
      <w:keepLines/>
      <w:numPr>
        <w:numId w:val="25"/>
      </w:numPr>
      <w:shd w:val="clear" w:color="auto" w:fill="E5EBF2" w:themeFill="accent6" w:themeFillTint="33"/>
      <w:spacing w:before="480" w:after="480"/>
      <w:jc w:val="left"/>
      <w:outlineLvl w:val="0"/>
    </w:pPr>
    <w:rPr>
      <w:rFonts w:eastAsia="Arial" w:cs="Arial"/>
      <w:b/>
      <w:bCs/>
      <w:caps/>
      <w:color w:val="4E74A2" w:themeColor="accent6" w:themeShade="BF"/>
      <w:sz w:val="32"/>
      <w:szCs w:val="28"/>
      <w:lang w:eastAsia="fr-FR"/>
    </w:rPr>
  </w:style>
  <w:style w:type="paragraph" w:styleId="Titre2">
    <w:name w:val="heading 2"/>
    <w:aliases w:val="Article"/>
    <w:basedOn w:val="Normal"/>
    <w:next w:val="Normal"/>
    <w:link w:val="Titre2Car"/>
    <w:autoRedefine/>
    <w:uiPriority w:val="9"/>
    <w:qFormat/>
    <w:rsid w:val="00AA6B3A"/>
    <w:pPr>
      <w:keepNext/>
      <w:keepLines/>
      <w:spacing w:before="360" w:after="360"/>
      <w:outlineLvl w:val="1"/>
    </w:pPr>
    <w:rPr>
      <w:color w:val="809EC2" w:themeColor="accent6"/>
      <w:sz w:val="28"/>
      <w:szCs w:val="21"/>
    </w:rPr>
  </w:style>
  <w:style w:type="paragraph" w:styleId="Titre3">
    <w:name w:val="heading 3"/>
    <w:aliases w:val="Sous-article"/>
    <w:basedOn w:val="Normal"/>
    <w:next w:val="Normal"/>
    <w:link w:val="Titre3Car"/>
    <w:autoRedefine/>
    <w:uiPriority w:val="9"/>
    <w:semiHidden/>
    <w:unhideWhenUsed/>
    <w:qFormat/>
    <w:rsid w:val="00AA6B3A"/>
    <w:pPr>
      <w:keepNext/>
      <w:keepLines/>
      <w:ind w:left="1287" w:right="113" w:hanging="360"/>
      <w:outlineLvl w:val="2"/>
    </w:pPr>
    <w:rPr>
      <w:rFonts w:eastAsiaTheme="majorEastAsia" w:cstheme="majorBidi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A6B3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7C9163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A6B3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7C9163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A6B3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A6B3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A6B3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A6B3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A6B3A"/>
    <w:pPr>
      <w:ind w:left="720"/>
    </w:pPr>
  </w:style>
  <w:style w:type="character" w:customStyle="1" w:styleId="Titre1Car">
    <w:name w:val="Titre 1 Car"/>
    <w:aliases w:val="Chapitre Car"/>
    <w:basedOn w:val="Policepardfaut"/>
    <w:link w:val="Titre1"/>
    <w:uiPriority w:val="9"/>
    <w:rsid w:val="00AA6B3A"/>
    <w:rPr>
      <w:rFonts w:eastAsia="Arial" w:cs="Arial"/>
      <w:b/>
      <w:bCs/>
      <w:caps/>
      <w:color w:val="4E74A2" w:themeColor="accent6" w:themeShade="BF"/>
      <w:sz w:val="32"/>
      <w:szCs w:val="28"/>
      <w:shd w:val="clear" w:color="auto" w:fill="E5EBF2" w:themeFill="accent6" w:themeFillTint="33"/>
      <w:lang w:eastAsia="fr-FR"/>
    </w:rPr>
  </w:style>
  <w:style w:type="character" w:customStyle="1" w:styleId="Titre2Car">
    <w:name w:val="Titre 2 Car"/>
    <w:aliases w:val="Article Car"/>
    <w:basedOn w:val="Policepardfaut"/>
    <w:link w:val="Titre2"/>
    <w:uiPriority w:val="9"/>
    <w:rsid w:val="00AA6B3A"/>
    <w:rPr>
      <w:color w:val="809EC2" w:themeColor="accent6"/>
      <w:sz w:val="28"/>
      <w:szCs w:val="21"/>
    </w:rPr>
  </w:style>
  <w:style w:type="character" w:customStyle="1" w:styleId="Titre3Car">
    <w:name w:val="Titre 3 Car"/>
    <w:aliases w:val="Sous-article Car"/>
    <w:basedOn w:val="Policepardfaut"/>
    <w:link w:val="Titre3"/>
    <w:uiPriority w:val="9"/>
    <w:semiHidden/>
    <w:rsid w:val="00AA6B3A"/>
    <w:rPr>
      <w:rFonts w:eastAsiaTheme="majorEastAsia" w:cstheme="majorBidi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AA6B3A"/>
    <w:rPr>
      <w:rFonts w:asciiTheme="majorHAnsi" w:eastAsiaTheme="majorEastAsia" w:hAnsiTheme="majorHAnsi" w:cstheme="majorBidi"/>
      <w:i/>
      <w:iCs/>
      <w:color w:val="7C9163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AA6B3A"/>
    <w:rPr>
      <w:rFonts w:asciiTheme="majorHAnsi" w:eastAsiaTheme="majorEastAsia" w:hAnsiTheme="majorHAnsi" w:cstheme="majorBidi"/>
      <w:color w:val="7C9163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AA6B3A"/>
    <w:rPr>
      <w:rFonts w:asciiTheme="majorHAnsi" w:eastAsiaTheme="majorEastAsia" w:hAnsiTheme="majorHAnsi" w:cstheme="majorBidi"/>
      <w:color w:val="526041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AA6B3A"/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AA6B3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AA6B3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re">
    <w:name w:val="Title"/>
    <w:aliases w:val="Titre1"/>
    <w:basedOn w:val="Normal"/>
    <w:next w:val="Normal"/>
    <w:link w:val="TitreCar"/>
    <w:autoRedefine/>
    <w:uiPriority w:val="10"/>
    <w:qFormat/>
    <w:rsid w:val="009C0582"/>
    <w:pPr>
      <w:pBdr>
        <w:bottom w:val="single" w:sz="18" w:space="1" w:color="809EC2" w:themeColor="accent6"/>
      </w:pBdr>
      <w:spacing w:before="100" w:beforeAutospacing="1" w:after="100" w:afterAutospacing="1" w:line="360" w:lineRule="auto"/>
      <w:jc w:val="center"/>
    </w:pPr>
    <w:rPr>
      <w:color w:val="809EC2" w:themeColor="accent6"/>
      <w:kern w:val="28"/>
      <w:sz w:val="52"/>
      <w:szCs w:val="44"/>
    </w:rPr>
  </w:style>
  <w:style w:type="character" w:customStyle="1" w:styleId="TitreCar">
    <w:name w:val="Titre Car"/>
    <w:aliases w:val="Titre1 Car"/>
    <w:basedOn w:val="Policepardfaut"/>
    <w:link w:val="Titre"/>
    <w:uiPriority w:val="10"/>
    <w:rsid w:val="009C0582"/>
    <w:rPr>
      <w:rFonts w:eastAsiaTheme="minorEastAsia"/>
      <w:color w:val="809EC2" w:themeColor="accent6"/>
      <w:kern w:val="28"/>
      <w:sz w:val="52"/>
      <w:szCs w:val="44"/>
    </w:rPr>
  </w:style>
  <w:style w:type="paragraph" w:styleId="TM1">
    <w:name w:val="toc 1"/>
    <w:basedOn w:val="Normal"/>
    <w:next w:val="Normal"/>
    <w:autoRedefine/>
    <w:uiPriority w:val="39"/>
    <w:unhideWhenUsed/>
    <w:rsid w:val="008317D3"/>
    <w:pPr>
      <w:tabs>
        <w:tab w:val="right" w:leader="dot" w:pos="9639"/>
      </w:tabs>
    </w:pPr>
    <w:rPr>
      <w:b/>
      <w:bCs/>
      <w:szCs w:val="24"/>
      <w:lang w:eastAsia="fr-FR"/>
    </w:rPr>
  </w:style>
  <w:style w:type="paragraph" w:customStyle="1" w:styleId="Sousarticle">
    <w:name w:val="Sous article"/>
    <w:basedOn w:val="Normal"/>
    <w:link w:val="SousarticleCar"/>
    <w:autoRedefine/>
    <w:rsid w:val="009C0582"/>
    <w:pPr>
      <w:jc w:val="left"/>
    </w:pPr>
    <w:rPr>
      <w:rFonts w:asciiTheme="minorHAnsi" w:hAnsiTheme="minorHAnsi" w:cs="Arial"/>
      <w:b/>
      <w:bCs/>
      <w:szCs w:val="24"/>
    </w:rPr>
  </w:style>
  <w:style w:type="character" w:customStyle="1" w:styleId="SousarticleCar">
    <w:name w:val="Sous article Car"/>
    <w:basedOn w:val="Policepardfaut"/>
    <w:link w:val="Sousarticle"/>
    <w:rsid w:val="009C0582"/>
    <w:rPr>
      <w:rFonts w:asciiTheme="minorHAnsi" w:eastAsiaTheme="minorEastAsia" w:hAnsiTheme="minorHAnsi" w:cs="Arial"/>
      <w:b/>
      <w:bCs/>
      <w:szCs w:val="24"/>
    </w:rPr>
  </w:style>
  <w:style w:type="table" w:styleId="Grilledutableau">
    <w:name w:val="Table Grid"/>
    <w:basedOn w:val="TableauNormal"/>
    <w:rsid w:val="009C0582"/>
    <w:rPr>
      <w:rFonts w:asciiTheme="minorHAnsi" w:eastAsiaTheme="minorEastAsia" w:hAnsiTheme="minorHAns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aliases w:val="Sous article1"/>
    <w:basedOn w:val="Sousarticle"/>
    <w:next w:val="Normal"/>
    <w:link w:val="Sous-titreCar"/>
    <w:autoRedefine/>
    <w:uiPriority w:val="11"/>
    <w:qFormat/>
    <w:rsid w:val="008317D3"/>
    <w:pPr>
      <w:pBdr>
        <w:bottom w:val="single" w:sz="4" w:space="1" w:color="809EC2" w:themeColor="accent6"/>
      </w:pBdr>
      <w:spacing w:before="600" w:after="240"/>
    </w:pPr>
    <w:rPr>
      <w:bCs w:val="0"/>
      <w:noProof/>
      <w:color w:val="809EC2" w:themeColor="accent6"/>
      <w:sz w:val="28"/>
      <w:szCs w:val="22"/>
      <w:lang w:eastAsia="fr-FR"/>
    </w:rPr>
  </w:style>
  <w:style w:type="character" w:customStyle="1" w:styleId="Sous-titreCar">
    <w:name w:val="Sous-titre Car"/>
    <w:aliases w:val="Sous article1 Car"/>
    <w:basedOn w:val="Policepardfaut"/>
    <w:link w:val="Sous-titre"/>
    <w:uiPriority w:val="11"/>
    <w:rsid w:val="008317D3"/>
    <w:rPr>
      <w:rFonts w:asciiTheme="minorHAnsi" w:eastAsiaTheme="minorEastAsia" w:hAnsiTheme="minorHAnsi" w:cs="Arial"/>
      <w:b/>
      <w:noProof/>
      <w:color w:val="809EC2" w:themeColor="accent6"/>
      <w:sz w:val="28"/>
      <w:lang w:eastAsia="fr-FR"/>
    </w:rPr>
  </w:style>
  <w:style w:type="character" w:styleId="Lienhypertexte">
    <w:name w:val="Hyperlink"/>
    <w:basedOn w:val="Policepardfaut"/>
    <w:uiPriority w:val="99"/>
    <w:unhideWhenUsed/>
    <w:rsid w:val="008871FC"/>
    <w:rPr>
      <w:color w:val="8E58B6" w:themeColor="hyperlink"/>
      <w:u w:val="single"/>
    </w:rPr>
  </w:style>
  <w:style w:type="table" w:customStyle="1" w:styleId="Grilledutableau1">
    <w:name w:val="Grille du tableau1"/>
    <w:basedOn w:val="TableauNormal"/>
    <w:next w:val="Grilledutableau"/>
    <w:uiPriority w:val="39"/>
    <w:rsid w:val="008871FC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2351C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351C0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351C0"/>
    <w:rPr>
      <w:rFonts w:eastAsiaTheme="minorEastAsia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351C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351C0"/>
    <w:rPr>
      <w:rFonts w:eastAsiaTheme="minorEastAsia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351C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51C0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archespublics596280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Papi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448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 SIMON</dc:creator>
  <cp:keywords/>
  <dc:description/>
  <cp:lastModifiedBy>DEHAY Charlotte</cp:lastModifiedBy>
  <cp:revision>3</cp:revision>
  <dcterms:created xsi:type="dcterms:W3CDTF">2023-05-24T13:47:00Z</dcterms:created>
  <dcterms:modified xsi:type="dcterms:W3CDTF">2023-05-24T13:49:00Z</dcterms:modified>
</cp:coreProperties>
</file>