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27" w:rsidRDefault="001243EC">
      <w:pPr>
        <w:pStyle w:val="Nom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Commune de SAINT-PAIR sur mer</w:t>
      </w:r>
    </w:p>
    <w:p w:rsidR="00931D27" w:rsidRDefault="001243EC">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mallCaps/>
        </w:rPr>
      </w:pPr>
      <w:r>
        <w:rPr>
          <w:smallCaps/>
        </w:rPr>
        <w:t>255 rue de la mairie</w:t>
      </w:r>
    </w:p>
    <w:p w:rsidR="00931D27" w:rsidRDefault="001243EC">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mallCaps/>
        </w:rPr>
      </w:pPr>
      <w:r>
        <w:rPr>
          <w:smallCaps/>
        </w:rPr>
        <w:t>50380 Saint-Pair sur mer</w:t>
      </w:r>
    </w:p>
    <w:p w:rsidR="00931D27" w:rsidRDefault="00931D2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rPr>
      </w:pPr>
    </w:p>
    <w:p w:rsidR="00931D27" w:rsidRDefault="00305DDD">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Mission de maitrise d'œuvre pour la </w:t>
      </w:r>
      <w:r w:rsidR="001243EC">
        <w:rPr>
          <w:rFonts w:ascii="Times New Roman" w:hAnsi="Times New Roman"/>
        </w:rPr>
        <w:t>Création de la P</w:t>
      </w:r>
      <w:r w:rsidR="001E26ED">
        <w:rPr>
          <w:rFonts w:ascii="Times New Roman" w:hAnsi="Times New Roman"/>
        </w:rPr>
        <w:t>asserelle Pédagogique</w:t>
      </w:r>
    </w:p>
    <w:p w:rsidR="001E26ED" w:rsidRDefault="001243EC" w:rsidP="001E26ED">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hAnsi="Times New Roman"/>
        </w:rPr>
      </w:pPr>
      <w:proofErr w:type="gramStart"/>
      <w:r>
        <w:rPr>
          <w:rFonts w:ascii="Times New Roman" w:hAnsi="Times New Roman"/>
        </w:rPr>
        <w:t>dans</w:t>
      </w:r>
      <w:proofErr w:type="gramEnd"/>
      <w:r>
        <w:rPr>
          <w:rFonts w:ascii="Times New Roman" w:hAnsi="Times New Roman"/>
        </w:rPr>
        <w:t xml:space="preserve"> le Havre du Thar, lieu de</w:t>
      </w:r>
    </w:p>
    <w:p w:rsidR="00931D27" w:rsidRPr="001E26ED" w:rsidRDefault="001243EC" w:rsidP="001E26ED">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découverte</w:t>
      </w:r>
      <w:proofErr w:type="gramEnd"/>
      <w:r>
        <w:rPr>
          <w:rFonts w:ascii="Times New Roman" w:hAnsi="Times New Roman"/>
        </w:rPr>
        <w:t xml:space="preserve"> du paysage et du milieu</w:t>
      </w:r>
    </w:p>
    <w:p w:rsidR="00931D27" w:rsidRDefault="00931D27">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18"/>
          <w:szCs w:val="18"/>
        </w:rPr>
      </w:pPr>
    </w:p>
    <w:p w:rsidR="00931D27" w:rsidRDefault="001243EC">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bCs/>
        </w:rPr>
      </w:pPr>
      <w:r>
        <w:rPr>
          <w:b/>
          <w:bCs/>
        </w:rPr>
        <w:t xml:space="preserve">ACCORD-CADRE mono-attributaire valant acte d’engagement et CCAP </w:t>
      </w:r>
    </w:p>
    <w:p w:rsidR="00931D27" w:rsidRDefault="00931D27">
      <w:pPr>
        <w:pStyle w:val="TitreSommai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rPr>
      </w:pPr>
    </w:p>
    <w:p w:rsidR="00931D27" w:rsidRDefault="001243EC">
      <w:pPr>
        <w:pStyle w:val="TitreSommai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bCs/>
        </w:rPr>
      </w:pPr>
      <w:r>
        <w:rPr>
          <w:b/>
          <w:bCs/>
        </w:rPr>
        <w:t>Sommaire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TOC \t "heading 2, 1,Sous-section 1, 2,Sous-section 2, 3,Sous-section 3, 4,Titre Annexe, 1"</w:instrText>
      </w:r>
      <w:r>
        <w:rPr>
          <w:rFonts w:ascii="Times New Roman" w:eastAsia="Times New Roman" w:hAnsi="Times New Roman" w:cs="Times New Roman"/>
          <w:b/>
          <w:bCs/>
        </w:rPr>
        <w:fldChar w:fldCharType="separate"/>
      </w:r>
    </w:p>
    <w:p w:rsidR="00931D27" w:rsidRDefault="001243EC">
      <w:pPr>
        <w:pStyle w:val="TM2"/>
        <w:numPr>
          <w:ilvl w:val="0"/>
          <w:numId w:val="1"/>
        </w:numPr>
      </w:pPr>
      <w:r>
        <w:rPr>
          <w:rFonts w:eastAsia="Arial Unicode MS" w:cs="Arial Unicode MS"/>
        </w:rPr>
        <w:t>Préambule et dispositions générales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rsidR="00931D27" w:rsidRDefault="001243EC">
      <w:pPr>
        <w:pStyle w:val="TM3"/>
        <w:numPr>
          <w:ilvl w:val="1"/>
          <w:numId w:val="1"/>
        </w:numPr>
      </w:pPr>
      <w:r>
        <w:rPr>
          <w:rFonts w:eastAsia="Arial Unicode MS" w:cs="Arial Unicode MS"/>
        </w:rPr>
        <w:t>Cadre juridique</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1</w:t>
      </w:r>
      <w:r>
        <w:fldChar w:fldCharType="end"/>
      </w:r>
    </w:p>
    <w:p w:rsidR="00931D27" w:rsidRDefault="001243EC">
      <w:pPr>
        <w:pStyle w:val="TM3"/>
        <w:numPr>
          <w:ilvl w:val="1"/>
          <w:numId w:val="1"/>
        </w:numPr>
      </w:pPr>
      <w:r>
        <w:rPr>
          <w:rFonts w:eastAsia="Arial Unicode MS" w:cs="Arial Unicode MS"/>
        </w:rPr>
        <w:t>Personne Publique Contractante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w:t>
      </w:r>
      <w:r>
        <w:fldChar w:fldCharType="end"/>
      </w:r>
    </w:p>
    <w:p w:rsidR="00931D27" w:rsidRDefault="001243EC">
      <w:pPr>
        <w:pStyle w:val="TM3"/>
        <w:numPr>
          <w:ilvl w:val="1"/>
          <w:numId w:val="1"/>
        </w:numPr>
      </w:pPr>
      <w:r>
        <w:rPr>
          <w:rFonts w:eastAsia="Arial Unicode MS" w:cs="Arial Unicode MS"/>
        </w:rPr>
        <w:t>Procédure de passation de l’accord-cadre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1</w:t>
      </w:r>
      <w:r>
        <w:fldChar w:fldCharType="end"/>
      </w:r>
    </w:p>
    <w:p w:rsidR="00931D27" w:rsidRDefault="001243EC">
      <w:pPr>
        <w:pStyle w:val="TM2"/>
        <w:numPr>
          <w:ilvl w:val="0"/>
          <w:numId w:val="1"/>
        </w:numPr>
      </w:pPr>
      <w:r>
        <w:rPr>
          <w:rFonts w:eastAsia="Arial Unicode MS" w:cs="Arial Unicode MS"/>
        </w:rPr>
        <w:t>Contractants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1</w:t>
      </w:r>
      <w:r>
        <w:fldChar w:fldCharType="end"/>
      </w:r>
    </w:p>
    <w:p w:rsidR="00931D27" w:rsidRDefault="001243EC">
      <w:pPr>
        <w:pStyle w:val="TM2"/>
        <w:numPr>
          <w:ilvl w:val="0"/>
          <w:numId w:val="2"/>
        </w:numPr>
      </w:pPr>
      <w:r>
        <w:rPr>
          <w:rFonts w:eastAsia="Arial Unicode MS" w:cs="Arial Unicode MS"/>
        </w:rPr>
        <w:t>Objet de l'accord-cadre et des marchés conclus sur la base du présent accord</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2</w:t>
      </w:r>
      <w:r>
        <w:fldChar w:fldCharType="end"/>
      </w:r>
    </w:p>
    <w:p w:rsidR="00931D27" w:rsidRDefault="001243EC">
      <w:pPr>
        <w:pStyle w:val="TM2"/>
        <w:numPr>
          <w:ilvl w:val="0"/>
          <w:numId w:val="3"/>
        </w:numPr>
      </w:pPr>
      <w:r>
        <w:rPr>
          <w:rFonts w:eastAsia="Arial Unicode MS" w:cs="Arial Unicode MS"/>
        </w:rPr>
        <w:t>Pièces constitutives de l’accord-cadre</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3</w:t>
      </w:r>
      <w:r>
        <w:fldChar w:fldCharType="end"/>
      </w:r>
    </w:p>
    <w:p w:rsidR="00931D27" w:rsidRDefault="001243EC">
      <w:pPr>
        <w:pStyle w:val="TM2"/>
        <w:numPr>
          <w:ilvl w:val="0"/>
          <w:numId w:val="4"/>
        </w:numPr>
      </w:pPr>
      <w:r>
        <w:rPr>
          <w:rFonts w:eastAsia="Arial Unicode MS" w:cs="Arial Unicode MS"/>
        </w:rPr>
        <w:t>Durée de l’accord-cadre - entrée en vigueur</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3</w:t>
      </w:r>
      <w:r>
        <w:fldChar w:fldCharType="end"/>
      </w:r>
    </w:p>
    <w:p w:rsidR="00931D27" w:rsidRDefault="001243EC">
      <w:pPr>
        <w:pStyle w:val="TM2"/>
        <w:numPr>
          <w:ilvl w:val="0"/>
          <w:numId w:val="1"/>
        </w:numPr>
      </w:pPr>
      <w:r>
        <w:rPr>
          <w:rFonts w:eastAsia="Arial Unicode MS" w:cs="Arial Unicode MS"/>
        </w:rPr>
        <w:t>Montant de l'accord-cadre</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3</w:t>
      </w:r>
      <w:r>
        <w:fldChar w:fldCharType="end"/>
      </w:r>
    </w:p>
    <w:p w:rsidR="00931D27" w:rsidRDefault="001243EC">
      <w:pPr>
        <w:pStyle w:val="TM2"/>
        <w:numPr>
          <w:ilvl w:val="0"/>
          <w:numId w:val="1"/>
        </w:numPr>
      </w:pPr>
      <w:r>
        <w:rPr>
          <w:rFonts w:eastAsia="Arial Unicode MS" w:cs="Arial Unicode MS"/>
        </w:rPr>
        <w:t>Modalités de détermination de la rémunération du titulaire</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3</w:t>
      </w:r>
      <w:r>
        <w:fldChar w:fldCharType="end"/>
      </w:r>
    </w:p>
    <w:p w:rsidR="00931D27" w:rsidRDefault="001243EC">
      <w:pPr>
        <w:pStyle w:val="TM2"/>
        <w:numPr>
          <w:ilvl w:val="0"/>
          <w:numId w:val="1"/>
        </w:numPr>
      </w:pPr>
      <w:r>
        <w:rPr>
          <w:rFonts w:eastAsia="Arial Unicode MS" w:cs="Arial Unicode MS"/>
        </w:rPr>
        <w:t>Modalités d'exécution des marchés subséquents régis par le présent accord</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3</w:t>
      </w:r>
      <w:r>
        <w:fldChar w:fldCharType="end"/>
      </w:r>
    </w:p>
    <w:p w:rsidR="00931D27" w:rsidRDefault="001243EC">
      <w:pPr>
        <w:pStyle w:val="TM3"/>
        <w:numPr>
          <w:ilvl w:val="1"/>
          <w:numId w:val="1"/>
        </w:numPr>
      </w:pPr>
      <w:r>
        <w:rPr>
          <w:rFonts w:eastAsia="Arial Unicode MS" w:cs="Arial Unicode MS"/>
        </w:rPr>
        <w:t>Forme des marchés et missions confiées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Modalités d'attribution des marchés</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Engagements du titulaire</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Rémunération fixée dans les marchés subséquents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Variation des prix des marchés conclus sur la base du présent accord</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Règlement des comptes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Avances</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4</w:t>
      </w:r>
      <w:r>
        <w:fldChar w:fldCharType="end"/>
      </w:r>
    </w:p>
    <w:p w:rsidR="00931D27" w:rsidRDefault="001243EC">
      <w:pPr>
        <w:pStyle w:val="TM3"/>
        <w:numPr>
          <w:ilvl w:val="1"/>
          <w:numId w:val="1"/>
        </w:numPr>
      </w:pPr>
      <w:r>
        <w:rPr>
          <w:rFonts w:eastAsia="Arial Unicode MS" w:cs="Arial Unicode MS"/>
        </w:rPr>
        <w:t>Délai de paiement</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5</w:t>
      </w:r>
      <w:r>
        <w:fldChar w:fldCharType="end"/>
      </w:r>
    </w:p>
    <w:p w:rsidR="00931D27" w:rsidRDefault="001243EC">
      <w:pPr>
        <w:pStyle w:val="TM3"/>
        <w:numPr>
          <w:ilvl w:val="1"/>
          <w:numId w:val="1"/>
        </w:numPr>
      </w:pPr>
      <w:r>
        <w:rPr>
          <w:rFonts w:eastAsia="Arial Unicode MS" w:cs="Arial Unicode MS"/>
        </w:rPr>
        <w:t>Sous-traitance des marchés conclus sur la base du présent accord</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5</w:t>
      </w:r>
      <w:r>
        <w:fldChar w:fldCharType="end"/>
      </w:r>
    </w:p>
    <w:p w:rsidR="00931D27" w:rsidRDefault="001243EC">
      <w:pPr>
        <w:pStyle w:val="TM2"/>
        <w:numPr>
          <w:ilvl w:val="0"/>
          <w:numId w:val="1"/>
        </w:numPr>
      </w:pPr>
      <w:r>
        <w:rPr>
          <w:rFonts w:eastAsia="Arial Unicode MS" w:cs="Arial Unicode MS"/>
        </w:rPr>
        <w:t>Assurances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5</w:t>
      </w:r>
      <w:r>
        <w:fldChar w:fldCharType="end"/>
      </w:r>
    </w:p>
    <w:p w:rsidR="00931D27" w:rsidRDefault="001243EC">
      <w:pPr>
        <w:pStyle w:val="TM2"/>
        <w:numPr>
          <w:ilvl w:val="0"/>
          <w:numId w:val="1"/>
        </w:numPr>
      </w:pPr>
      <w:r>
        <w:rPr>
          <w:rFonts w:eastAsia="Arial Unicode MS" w:cs="Arial Unicode MS"/>
        </w:rPr>
        <w:lastRenderedPageBreak/>
        <w:t>Modifications relatives au titulaire du présent accord</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5</w:t>
      </w:r>
      <w:r>
        <w:fldChar w:fldCharType="end"/>
      </w:r>
    </w:p>
    <w:p w:rsidR="00931D27" w:rsidRDefault="001243EC">
      <w:pPr>
        <w:pStyle w:val="TM2"/>
        <w:numPr>
          <w:ilvl w:val="0"/>
          <w:numId w:val="1"/>
        </w:numPr>
      </w:pPr>
      <w:r>
        <w:rPr>
          <w:rFonts w:eastAsia="Arial Unicode MS" w:cs="Arial Unicode MS"/>
        </w:rPr>
        <w:t>Résiliation de l'accord-cadre et des marchés conclus sur la base du présent accord</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6</w:t>
      </w:r>
      <w:r>
        <w:fldChar w:fldCharType="end"/>
      </w:r>
    </w:p>
    <w:p w:rsidR="00931D27" w:rsidRDefault="001243EC">
      <w:pPr>
        <w:pStyle w:val="TM2"/>
        <w:numPr>
          <w:ilvl w:val="0"/>
          <w:numId w:val="5"/>
        </w:numPr>
      </w:pPr>
      <w:r>
        <w:rPr>
          <w:rFonts w:eastAsia="Arial Unicode MS" w:cs="Arial Unicode MS"/>
          <w:lang w:val="de-DE"/>
        </w:rPr>
        <w:t>Litiges</w:t>
      </w:r>
      <w:r>
        <w:rPr>
          <w:rFonts w:eastAsia="Arial Unicode MS" w:cs="Arial Unicode MS"/>
          <w:lang w:val="de-DE"/>
        </w:rPr>
        <w:tab/>
      </w:r>
      <w:r>
        <w:fldChar w:fldCharType="begin"/>
      </w:r>
      <w:r>
        <w:instrText xml:space="preserve"> PAGEREF _Toc23 \h </w:instrText>
      </w:r>
      <w:r>
        <w:fldChar w:fldCharType="separate"/>
      </w:r>
      <w:r>
        <w:rPr>
          <w:rFonts w:eastAsia="Arial Unicode MS" w:cs="Arial Unicode MS"/>
        </w:rPr>
        <w:t>6</w:t>
      </w:r>
      <w:r>
        <w:fldChar w:fldCharType="end"/>
      </w:r>
    </w:p>
    <w:p w:rsidR="00931D27" w:rsidRDefault="001243EC">
      <w:pPr>
        <w:pStyle w:val="TM2"/>
        <w:numPr>
          <w:ilvl w:val="0"/>
          <w:numId w:val="1"/>
        </w:numPr>
      </w:pPr>
      <w:r>
        <w:rPr>
          <w:rFonts w:eastAsia="Arial Unicode MS" w:cs="Arial Unicode MS"/>
        </w:rPr>
        <w:t>Signatures des contractants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7</w:t>
      </w:r>
      <w:r>
        <w:fldChar w:fldCharType="end"/>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eastAsia="Times New Roman" w:hAnsi="Times New Roman" w:cs="Times New Roman"/>
          <w:b/>
          <w:bCs/>
        </w:rPr>
        <w:fldChar w:fldCharType="end"/>
      </w:r>
    </w:p>
    <w:p w:rsidR="00931D27" w:rsidRDefault="00931D27">
      <w:pPr>
        <w:pStyle w:val="Formatlibre"/>
        <w:sectPr w:rsidR="00931D27">
          <w:headerReference w:type="even" r:id="rId8"/>
          <w:headerReference w:type="default" r:id="rId9"/>
          <w:footerReference w:type="even" r:id="rId10"/>
          <w:footerReference w:type="default" r:id="rId11"/>
          <w:type w:val="oddPage"/>
          <w:pgSz w:w="11900" w:h="16840"/>
          <w:pgMar w:top="1247" w:right="1134" w:bottom="1247" w:left="1134" w:header="709" w:footer="709" w:gutter="0"/>
          <w:pgNumType w:start="1"/>
          <w:cols w:space="720"/>
        </w:sectPr>
      </w:pPr>
    </w:p>
    <w:p w:rsidR="00931D27" w:rsidRDefault="001243EC">
      <w:pPr>
        <w:pStyle w:val="Sous-section1"/>
        <w:numPr>
          <w:ilvl w:val="0"/>
          <w:numId w:val="7"/>
        </w:numPr>
        <w:rPr>
          <w:b/>
          <w:bCs/>
        </w:rPr>
      </w:pPr>
      <w:bookmarkStart w:id="0" w:name="_Toc"/>
      <w:r>
        <w:rPr>
          <w:b/>
          <w:bCs/>
        </w:rPr>
        <w:lastRenderedPageBreak/>
        <w:t>Préambule et dispositions générales</w:t>
      </w:r>
      <w:bookmarkEnd w:id="0"/>
    </w:p>
    <w:p w:rsidR="00931D27" w:rsidRDefault="001243EC">
      <w:pPr>
        <w:pStyle w:val="Sous-section2"/>
        <w:numPr>
          <w:ilvl w:val="1"/>
          <w:numId w:val="7"/>
        </w:numPr>
        <w:rPr>
          <w:b/>
          <w:bCs/>
        </w:rPr>
      </w:pPr>
      <w:bookmarkStart w:id="1" w:name="_Toc1"/>
      <w:r>
        <w:rPr>
          <w:b/>
          <w:bCs/>
        </w:rPr>
        <w:t>Cadre juridique</w:t>
      </w:r>
      <w:bookmarkEnd w:id="1"/>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Ordonnance n° 2015-899 du 23 juillet 2015 relative aux marchés publics et Décret n° 2016-360 du 25 mars 2016 relatif aux marchés publics</w:t>
      </w:r>
    </w:p>
    <w:p w:rsidR="00931D27" w:rsidRDefault="001243EC">
      <w:pPr>
        <w:pStyle w:val="Sous-section2"/>
        <w:numPr>
          <w:ilvl w:val="1"/>
          <w:numId w:val="7"/>
        </w:numPr>
        <w:rPr>
          <w:b/>
          <w:bCs/>
        </w:rPr>
      </w:pPr>
      <w:bookmarkStart w:id="2" w:name="_Toc2"/>
      <w:r>
        <w:rPr>
          <w:b/>
          <w:bCs/>
        </w:rPr>
        <w:t>Personne Publique Contractante</w:t>
      </w:r>
      <w:bookmarkEnd w:id="2"/>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bCs/>
          <w:sz w:val="24"/>
          <w:szCs w:val="24"/>
        </w:rPr>
      </w:pPr>
      <w:r>
        <w:rPr>
          <w:rFonts w:ascii="Times New Roman" w:hAnsi="Times New Roman"/>
          <w:b/>
          <w:bCs/>
          <w:sz w:val="24"/>
          <w:szCs w:val="24"/>
        </w:rPr>
        <w:t>Mairie de SAINT-PAIR sur mer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bCs/>
          <w:sz w:val="24"/>
          <w:szCs w:val="24"/>
        </w:rPr>
      </w:pPr>
      <w:r>
        <w:rPr>
          <w:rFonts w:ascii="Times New Roman" w:hAnsi="Times New Roman"/>
          <w:b/>
          <w:bCs/>
          <w:smallCaps/>
          <w:sz w:val="24"/>
          <w:szCs w:val="24"/>
        </w:rPr>
        <w:t>255 rue de la mairie</w:t>
      </w:r>
      <w:r>
        <w:rPr>
          <w:rFonts w:ascii="Arial Unicode MS" w:eastAsia="Arial Unicode MS" w:hAnsi="Arial Unicode MS" w:cs="Arial Unicode MS"/>
          <w:smallCaps/>
          <w:sz w:val="24"/>
          <w:szCs w:val="24"/>
        </w:rPr>
        <w:br/>
      </w:r>
      <w:r>
        <w:rPr>
          <w:rFonts w:ascii="Times New Roman" w:hAnsi="Times New Roman"/>
          <w:b/>
          <w:bCs/>
          <w:smallCaps/>
          <w:sz w:val="24"/>
          <w:szCs w:val="24"/>
        </w:rPr>
        <w:t>50380 Saint-Pair sur mer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Personne responsable des marchés passés sur la base du présent accord-cadre et habilitée à signer l’accord-cadre : Guy LECROISEY, Maire de Saint-Pair sur mer, par délégation du Conseil Municipal en date du </w:t>
      </w:r>
      <w:r>
        <w:rPr>
          <w:rFonts w:ascii="Times New Roman" w:hAnsi="Times New Roman"/>
          <w:b/>
          <w:bCs/>
          <w:i/>
          <w:iCs/>
        </w:rPr>
        <w:t>1</w:t>
      </w:r>
      <w:r>
        <w:rPr>
          <w:rFonts w:ascii="Times New Roman" w:hAnsi="Times New Roman"/>
          <w:b/>
          <w:bCs/>
          <w:i/>
          <w:iCs/>
          <w:vertAlign w:val="superscript"/>
        </w:rPr>
        <w:t>er</w:t>
      </w:r>
      <w:r>
        <w:rPr>
          <w:rFonts w:ascii="Times New Roman" w:hAnsi="Times New Roman"/>
          <w:b/>
          <w:bCs/>
          <w:i/>
          <w:iCs/>
        </w:rPr>
        <w:t xml:space="preserve"> juillet 2017</w:t>
      </w:r>
      <w:r>
        <w:rPr>
          <w:rFonts w:ascii="Times New Roman" w:hAnsi="Times New Roman"/>
        </w:rPr>
        <w:t>.</w:t>
      </w:r>
    </w:p>
    <w:p w:rsidR="00931D27" w:rsidRDefault="001243EC">
      <w:pPr>
        <w:pStyle w:val="Sous-section2"/>
        <w:numPr>
          <w:ilvl w:val="1"/>
          <w:numId w:val="7"/>
        </w:numPr>
        <w:rPr>
          <w:b/>
          <w:bCs/>
        </w:rPr>
      </w:pPr>
      <w:bookmarkStart w:id="3" w:name="_Toc3"/>
      <w:r>
        <w:rPr>
          <w:b/>
          <w:bCs/>
          <w:lang w:val="it-IT"/>
        </w:rPr>
        <w:t>Proc</w:t>
      </w:r>
      <w:proofErr w:type="spellStart"/>
      <w:r>
        <w:rPr>
          <w:b/>
          <w:bCs/>
        </w:rPr>
        <w:t>édure</w:t>
      </w:r>
      <w:proofErr w:type="spellEnd"/>
      <w:r>
        <w:rPr>
          <w:b/>
          <w:bCs/>
        </w:rPr>
        <w:t xml:space="preserve"> de passation de l’accord-cadre</w:t>
      </w:r>
      <w:bookmarkEnd w:id="3"/>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Marché </w:t>
      </w:r>
      <w:r>
        <w:rPr>
          <w:rFonts w:ascii="Times New Roman" w:hAnsi="Times New Roman"/>
          <w:lang w:val="it-IT"/>
        </w:rPr>
        <w:t>pass</w:t>
      </w:r>
      <w:r>
        <w:rPr>
          <w:rFonts w:ascii="Times New Roman" w:hAnsi="Times New Roman"/>
        </w:rPr>
        <w:t>é selon une procédure adaptée en application de l’article 27 du Dé</w:t>
      </w:r>
      <w:r>
        <w:rPr>
          <w:rFonts w:ascii="Times New Roman" w:hAnsi="Times New Roman"/>
          <w:lang w:val="it-IT"/>
        </w:rPr>
        <w:t>cret</w:t>
      </w:r>
      <w:r>
        <w:rPr>
          <w:rFonts w:ascii="Times New Roman" w:hAnsi="Times New Roman"/>
        </w:rPr>
        <w:t xml:space="preserve"> n</w:t>
      </w:r>
      <w:r>
        <w:rPr>
          <w:rFonts w:ascii="Times New Roman" w:hAnsi="Times New Roman"/>
          <w:lang w:val="it-IT"/>
        </w:rPr>
        <w:t>°</w:t>
      </w:r>
      <w:r>
        <w:rPr>
          <w:rFonts w:ascii="Times New Roman" w:hAnsi="Times New Roman"/>
        </w:rPr>
        <w:t xml:space="preserve"> 2016-360 du 25 mars 2016 relatif aux marchés publics.</w:t>
      </w:r>
    </w:p>
    <w:p w:rsidR="00931D27" w:rsidRDefault="001243EC">
      <w:pPr>
        <w:pStyle w:val="Sous-section1"/>
        <w:numPr>
          <w:ilvl w:val="0"/>
          <w:numId w:val="7"/>
        </w:numPr>
        <w:rPr>
          <w:b/>
          <w:bCs/>
        </w:rPr>
      </w:pPr>
      <w:bookmarkStart w:id="4" w:name="_Toc4"/>
      <w:r>
        <w:rPr>
          <w:b/>
          <w:bCs/>
        </w:rPr>
        <w:t>Contractants</w:t>
      </w:r>
      <w:bookmarkEnd w:id="4"/>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L’accord-cadre est conclu entre :</w:t>
      </w:r>
    </w:p>
    <w:p w:rsidR="00931D27" w:rsidRDefault="001243EC">
      <w:pPr>
        <w:pStyle w:val="CorpsA"/>
        <w:numPr>
          <w:ilvl w:val="0"/>
          <w:numId w:val="9"/>
        </w:numPr>
        <w:rPr>
          <w:rFonts w:ascii="Times New Roman" w:eastAsia="Times New Roman" w:hAnsi="Times New Roman" w:cs="Times New Roman"/>
        </w:rPr>
      </w:pPr>
      <w:r>
        <w:rPr>
          <w:rFonts w:ascii="Times New Roman" w:hAnsi="Times New Roman"/>
        </w:rPr>
        <w:t xml:space="preserve">D’une part,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it-IT"/>
        </w:rPr>
        <w:t xml:space="preserve">La </w:t>
      </w:r>
      <w:r>
        <w:rPr>
          <w:rFonts w:ascii="Times New Roman" w:hAnsi="Times New Roman"/>
        </w:rPr>
        <w:t>commune de Saint-Pair sur mer, ci-après dé</w:t>
      </w:r>
      <w:proofErr w:type="spellStart"/>
      <w:r>
        <w:rPr>
          <w:rFonts w:ascii="Times New Roman" w:hAnsi="Times New Roman"/>
          <w:lang w:val="de-DE"/>
        </w:rPr>
        <w:t>nomm</w:t>
      </w:r>
      <w:r>
        <w:rPr>
          <w:rFonts w:ascii="Times New Roman" w:hAnsi="Times New Roman"/>
        </w:rPr>
        <w:t>ée</w:t>
      </w:r>
      <w:proofErr w:type="spellEnd"/>
      <w:r>
        <w:rPr>
          <w:rFonts w:ascii="Times New Roman" w:hAnsi="Times New Roman"/>
        </w:rPr>
        <w:t xml:space="preserve"> «le pouvoir adjudicateur </w:t>
      </w:r>
      <w:r>
        <w:rPr>
          <w:rFonts w:ascii="Times New Roman" w:hAnsi="Times New Roman"/>
          <w:lang w:val="it-IT"/>
        </w:rPr>
        <w:t>»</w:t>
      </w:r>
      <w:r>
        <w:rPr>
          <w:rFonts w:ascii="Times New Roman" w:hAnsi="Times New Roman"/>
        </w:rPr>
        <w:t>,</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Représentée par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Guy LECROISEY, Maire de Saint-Pair sur mer, par délégation du Conseil Municipal en date du </w:t>
      </w:r>
      <w:r>
        <w:rPr>
          <w:rFonts w:ascii="Times New Roman" w:hAnsi="Times New Roman"/>
          <w:b/>
          <w:bCs/>
          <w:i/>
          <w:iCs/>
        </w:rPr>
        <w:t>1</w:t>
      </w:r>
      <w:r>
        <w:rPr>
          <w:rFonts w:ascii="Times New Roman" w:hAnsi="Times New Roman"/>
          <w:b/>
          <w:bCs/>
          <w:i/>
          <w:iCs/>
          <w:vertAlign w:val="superscript"/>
        </w:rPr>
        <w:t>er</w:t>
      </w:r>
      <w:r>
        <w:rPr>
          <w:rFonts w:ascii="Times New Roman" w:hAnsi="Times New Roman"/>
          <w:b/>
          <w:bCs/>
          <w:i/>
          <w:iCs/>
        </w:rPr>
        <w:t xml:space="preserve"> juillet 2017</w:t>
      </w:r>
      <w:r>
        <w:rPr>
          <w:rFonts w:ascii="Times New Roman" w:hAnsi="Times New Roman"/>
        </w:rPr>
        <w:t>.</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i/>
          <w:iCs/>
          <w:color w:val="C81B00"/>
          <w:u w:color="C81B00"/>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groupement d'entrepreneurs solidaire (ou conjoint), ci-après dé</w:t>
      </w:r>
      <w:proofErr w:type="spellStart"/>
      <w:r>
        <w:rPr>
          <w:rFonts w:ascii="Times New Roman" w:hAnsi="Times New Roman"/>
          <w:lang w:val="de-DE"/>
        </w:rPr>
        <w:t>nomm</w:t>
      </w:r>
      <w:proofErr w:type="spellEnd"/>
      <w:r>
        <w:rPr>
          <w:rFonts w:ascii="Times New Roman" w:hAnsi="Times New Roman"/>
        </w:rPr>
        <w:t xml:space="preserve">é « le titulaire </w:t>
      </w:r>
      <w:r>
        <w:rPr>
          <w:rFonts w:ascii="Times New Roman" w:hAnsi="Times New Roman"/>
          <w:lang w:val="it-IT"/>
        </w:rPr>
        <w:t xml:space="preserve">» </w:t>
      </w:r>
      <w:r>
        <w:rPr>
          <w:rFonts w:ascii="Times New Roman" w:hAnsi="Times New Roman"/>
        </w:rPr>
        <w:t>:</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1ère entreprise </w:t>
      </w:r>
      <w:proofErr w:type="spellStart"/>
      <w:r>
        <w:rPr>
          <w:rFonts w:ascii="Times New Roman" w:hAnsi="Times New Roman"/>
        </w:rPr>
        <w:t>co-traitante</w:t>
      </w:r>
      <w:proofErr w:type="spellEnd"/>
      <w:r>
        <w:rPr>
          <w:rFonts w:ascii="Times New Roman" w:hAnsi="Times New Roman"/>
        </w:rPr>
        <w:t xml:space="preserve"> mandataire du Groupement :</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Dénomination sociale :</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Ayant son siège social à</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Ayant pour numéro unique d'identification SIRET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Représenté par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Nom : ………………………………………… </w:t>
      </w:r>
      <w:r>
        <w:rPr>
          <w:rFonts w:ascii="Times New Roman" w:hAnsi="Times New Roman"/>
          <w:lang w:val="it-IT"/>
        </w:rPr>
        <w:t>en qualit</w:t>
      </w:r>
      <w:r>
        <w:rPr>
          <w:rFonts w:ascii="Times New Roman" w:hAnsi="Times New Roman"/>
        </w:rPr>
        <w:t>é de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prestations réalisées dans le cadre du présent accord-cadre seront exécutées :</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Par le siège ou par l’établissement suivant :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lastRenderedPageBreak/>
        <w:t>……………………………………………………………</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En cas de groupement conjoint, le mandataire déclare être solidaire de tous les membres du groupement.</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2ème entreprise </w:t>
      </w:r>
      <w:proofErr w:type="spellStart"/>
      <w:r>
        <w:rPr>
          <w:rFonts w:ascii="Times New Roman" w:hAnsi="Times New Roman"/>
        </w:rPr>
        <w:t>co-traitante</w:t>
      </w:r>
      <w:proofErr w:type="spellEnd"/>
      <w:r>
        <w:rPr>
          <w:rFonts w:ascii="Times New Roman" w:hAnsi="Times New Roman"/>
        </w:rPr>
        <w:t xml:space="preserve"> :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Dénomination sociale : …</w:t>
      </w:r>
    </w:p>
    <w:p w:rsidR="00931D27" w:rsidRDefault="001243EC">
      <w:pPr>
        <w:pStyle w:val="Sous-section1"/>
        <w:numPr>
          <w:ilvl w:val="0"/>
          <w:numId w:val="10"/>
        </w:numPr>
        <w:rPr>
          <w:b/>
          <w:bCs/>
        </w:rPr>
      </w:pPr>
      <w:bookmarkStart w:id="5" w:name="_Toc5"/>
      <w:r>
        <w:rPr>
          <w:b/>
          <w:bCs/>
        </w:rPr>
        <w:t>Objet de l'accord-cadre et des marchés conclus sur la base du présent accord</w:t>
      </w:r>
      <w:bookmarkEnd w:id="5"/>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présent accord-cadre est mono-attributaire et a pour objet de définir les termes régissant les marchés à passer au cours de la période fixée à l’article 5 : Durée de l’a</w:t>
      </w:r>
      <w:r>
        <w:rPr>
          <w:rFonts w:ascii="Times New Roman" w:hAnsi="Times New Roman"/>
          <w:lang w:val="it-IT"/>
        </w:rPr>
        <w:t>ccord-</w:t>
      </w:r>
      <w:r>
        <w:rPr>
          <w:rFonts w:ascii="Times New Roman" w:hAnsi="Times New Roman"/>
        </w:rPr>
        <w:t>c</w:t>
      </w:r>
      <w:r>
        <w:rPr>
          <w:rFonts w:ascii="Times New Roman" w:hAnsi="Times New Roman"/>
          <w:lang w:val="es-ES_tradnl"/>
        </w:rPr>
        <w:t xml:space="preserve">adre - </w:t>
      </w:r>
      <w:proofErr w:type="spellStart"/>
      <w:r>
        <w:rPr>
          <w:rFonts w:ascii="Times New Roman" w:hAnsi="Times New Roman"/>
          <w:lang w:val="es-ES_tradnl"/>
        </w:rPr>
        <w:t>entr</w:t>
      </w:r>
      <w:r>
        <w:rPr>
          <w:rFonts w:ascii="Times New Roman" w:hAnsi="Times New Roman"/>
        </w:rPr>
        <w:t>ée</w:t>
      </w:r>
      <w:proofErr w:type="spellEnd"/>
      <w:r>
        <w:rPr>
          <w:rFonts w:ascii="Times New Roman" w:hAnsi="Times New Roman"/>
        </w:rPr>
        <w:t xml:space="preserve"> en vigueur.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L’objet de cet accord et des marchés qui seront conclus sur son fondement est</w:t>
      </w:r>
      <w:r>
        <w:rPr>
          <w:rFonts w:ascii="Times New Roman" w:hAnsi="Times New Roman"/>
          <w:color w:val="AD1915"/>
          <w:u w:color="AD1915"/>
        </w:rPr>
        <w:t xml:space="preserve"> </w:t>
      </w:r>
      <w:r>
        <w:rPr>
          <w:rFonts w:ascii="Times New Roman" w:hAnsi="Times New Roman"/>
        </w:rPr>
        <w:t xml:space="preserve">: </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rPr>
      </w:pPr>
    </w:p>
    <w:p w:rsidR="00931D27" w:rsidRDefault="00305DDD" w:rsidP="00305DDD">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bCs/>
          <w:sz w:val="24"/>
          <w:szCs w:val="24"/>
        </w:rPr>
      </w:pPr>
      <w:r>
        <w:rPr>
          <w:rFonts w:ascii="Times New Roman" w:hAnsi="Times New Roman"/>
          <w:b/>
          <w:bCs/>
          <w:sz w:val="24"/>
          <w:szCs w:val="24"/>
        </w:rPr>
        <w:t>Mission de maitrise d'œuvre pour la création de l</w:t>
      </w:r>
      <w:r w:rsidR="001243EC">
        <w:rPr>
          <w:rFonts w:ascii="Times New Roman" w:hAnsi="Times New Roman"/>
          <w:b/>
          <w:bCs/>
          <w:sz w:val="24"/>
          <w:szCs w:val="24"/>
        </w:rPr>
        <w:t xml:space="preserve">a </w:t>
      </w:r>
      <w:r w:rsidR="001E26ED">
        <w:rPr>
          <w:rFonts w:ascii="Times New Roman" w:hAnsi="Times New Roman"/>
          <w:b/>
          <w:bCs/>
          <w:sz w:val="24"/>
          <w:szCs w:val="24"/>
        </w:rPr>
        <w:t xml:space="preserve">Passerelle Pédagogique </w:t>
      </w:r>
      <w:r w:rsidR="001243EC">
        <w:rPr>
          <w:rFonts w:ascii="Times New Roman" w:hAnsi="Times New Roman"/>
          <w:b/>
          <w:bCs/>
          <w:sz w:val="24"/>
          <w:szCs w:val="24"/>
        </w:rPr>
        <w:t>dans le Havre du Thar,</w:t>
      </w:r>
      <w:r>
        <w:rPr>
          <w:rFonts w:ascii="Times New Roman" w:eastAsia="Times New Roman" w:hAnsi="Times New Roman" w:cs="Times New Roman"/>
          <w:b/>
          <w:bCs/>
          <w:sz w:val="24"/>
          <w:szCs w:val="24"/>
        </w:rPr>
        <w:t xml:space="preserve"> </w:t>
      </w:r>
      <w:bookmarkStart w:id="6" w:name="_GoBack"/>
      <w:bookmarkEnd w:id="6"/>
      <w:r w:rsidR="001243EC">
        <w:rPr>
          <w:rFonts w:ascii="Times New Roman" w:hAnsi="Times New Roman"/>
          <w:b/>
          <w:bCs/>
          <w:sz w:val="24"/>
          <w:szCs w:val="24"/>
        </w:rPr>
        <w:t>lieu de découverte du paysage et du milieu</w:t>
      </w:r>
      <w:r w:rsidR="001E26ED">
        <w:rPr>
          <w:rFonts w:ascii="Times New Roman" w:hAnsi="Times New Roman"/>
          <w:b/>
          <w:bCs/>
          <w:sz w:val="24"/>
          <w:szCs w:val="24"/>
        </w:rPr>
        <w:t>.</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Dans cet objectif, le présent projet d’accord-cadre prévoit un périmètre de réflexion du Rocher Saint Gaud (Allée de la Corniche) au Nord, à l’allée de la passerelle au Sud, la RD911 s’élargissant du fragment de Marais littoral bordant le chemin Beausoleil à l’Est et la mer à l’Ouest intégrant dans le périmètre de réflexion la flèche dunaire, la cale et le blockhaus. Les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et les bons de commande prévoient différents niveaux d’intervention, en concertation avec l’ensemble des acteurs du site : Etude Pré-Opérationnelle, études complémentaires, conception de paysage et d’aménagement (maîtrise d’œuvre), encadrement de démarches participatives (animation et concertation), appui de la collectivité dans ses dé</w:t>
      </w:r>
      <w:r>
        <w:rPr>
          <w:rFonts w:ascii="Times New Roman" w:hAnsi="Times New Roman"/>
          <w:lang w:val="it-IT"/>
        </w:rPr>
        <w:t>marches.</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it-IT"/>
        </w:rPr>
        <w:t>La dur</w:t>
      </w:r>
      <w:proofErr w:type="spellStart"/>
      <w:r>
        <w:rPr>
          <w:rFonts w:ascii="Times New Roman" w:hAnsi="Times New Roman"/>
        </w:rPr>
        <w:t>ée</w:t>
      </w:r>
      <w:proofErr w:type="spellEnd"/>
      <w:r>
        <w:rPr>
          <w:rFonts w:ascii="Times New Roman" w:hAnsi="Times New Roman"/>
        </w:rPr>
        <w:t xml:space="preserve"> de l’accord-cadre est de 6 ans (voir chapitre 5 - Durée de l’Accord-cadre, entrée en vigueur). </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marchés de service et de maîtrise d'œuvre, conclus sur la base du présent accord, seront dé</w:t>
      </w:r>
      <w:r>
        <w:rPr>
          <w:rFonts w:ascii="Times New Roman" w:hAnsi="Times New Roman"/>
          <w:lang w:val="it-IT"/>
        </w:rPr>
        <w:t>compos</w:t>
      </w:r>
      <w:proofErr w:type="spellStart"/>
      <w:r>
        <w:rPr>
          <w:rFonts w:ascii="Times New Roman" w:hAnsi="Times New Roman"/>
        </w:rPr>
        <w:t>és</w:t>
      </w:r>
      <w:proofErr w:type="spellEnd"/>
      <w:r>
        <w:rPr>
          <w:rFonts w:ascii="Times New Roman" w:hAnsi="Times New Roman"/>
        </w:rPr>
        <w:t xml:space="preserve"> en deux étapes de l'accord-cadre, à savoir :</w:t>
      </w:r>
    </w:p>
    <w:p w:rsidR="00931D27" w:rsidRDefault="001243EC">
      <w:pPr>
        <w:pStyle w:val="Puceducorpsdetexte"/>
        <w:numPr>
          <w:ilvl w:val="0"/>
          <w:numId w:val="12"/>
        </w:numPr>
        <w:rPr>
          <w:rFonts w:ascii="Times New Roman" w:eastAsia="Times New Roman" w:hAnsi="Times New Roman" w:cs="Times New Roman"/>
          <w:color w:val="9D44B8"/>
          <w:u w:color="9D44B8"/>
        </w:rPr>
      </w:pPr>
      <w:r>
        <w:rPr>
          <w:rFonts w:ascii="Times New Roman" w:hAnsi="Times New Roman"/>
        </w:rPr>
        <w:t>Première étape : une étude Pré-Opérationnelle, portant sur le périmètre de réflexion, Dans le cadre de cette étude Pré-Opérationnelle, il est attendu du prestataire de conduire tous les éléments de mission des études de diagnostic et des études préliminaires (Article 18 et 19 du Dé</w:t>
      </w:r>
      <w:proofErr w:type="spellStart"/>
      <w:r>
        <w:rPr>
          <w:rFonts w:ascii="Times New Roman" w:hAnsi="Times New Roman"/>
          <w:lang w:val="nl-NL"/>
        </w:rPr>
        <w:t>cret</w:t>
      </w:r>
      <w:proofErr w:type="spellEnd"/>
      <w:r>
        <w:rPr>
          <w:rFonts w:ascii="Times New Roman" w:hAnsi="Times New Roman"/>
          <w:lang w:val="nl-NL"/>
        </w:rPr>
        <w:t xml:space="preserve"> N</w:t>
      </w:r>
      <w:r>
        <w:rPr>
          <w:rFonts w:ascii="Times New Roman" w:hAnsi="Times New Roman"/>
          <w:lang w:val="it-IT"/>
        </w:rPr>
        <w:t>°</w:t>
      </w:r>
      <w:r>
        <w:rPr>
          <w:rFonts w:ascii="Times New Roman" w:hAnsi="Times New Roman"/>
        </w:rPr>
        <w:t>93-1268 du 29 novembre 1993).</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Seconde étape : Suivant les conclusions adoptées de l’étude Pré-Opérationnelle</w:t>
      </w:r>
      <w:r>
        <w:rPr>
          <w:rFonts w:ascii="Times New Roman" w:hAnsi="Times New Roman"/>
          <w:lang w:val="it-IT"/>
        </w:rPr>
        <w:t xml:space="preserve">, la seconde </w:t>
      </w:r>
      <w:r>
        <w:rPr>
          <w:rFonts w:ascii="Times New Roman" w:hAnsi="Times New Roman"/>
        </w:rPr>
        <w:t>étape du présent accord sera composée de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et de bons de commande prévoyant :</w:t>
      </w:r>
    </w:p>
    <w:p w:rsidR="00931D27" w:rsidRDefault="001243EC">
      <w:pPr>
        <w:pStyle w:val="Puceducorpsdetexte"/>
        <w:numPr>
          <w:ilvl w:val="1"/>
          <w:numId w:val="12"/>
        </w:numPr>
        <w:rPr>
          <w:rFonts w:ascii="Times New Roman" w:eastAsia="Times New Roman" w:hAnsi="Times New Roman" w:cs="Times New Roman"/>
        </w:rPr>
      </w:pPr>
      <w:r>
        <w:rPr>
          <w:rFonts w:ascii="Times New Roman" w:hAnsi="Times New Roman"/>
        </w:rPr>
        <w:t xml:space="preserve">des missions d’accompagnement «  Accompagner » de la maîtrise d’ouvrage de type : animation, réunion de concertation, appui technique et suivi… </w:t>
      </w:r>
    </w:p>
    <w:p w:rsidR="00931D27" w:rsidRDefault="001243EC">
      <w:pPr>
        <w:pStyle w:val="Puceducorpsdetexte"/>
        <w:numPr>
          <w:ilvl w:val="1"/>
          <w:numId w:val="12"/>
        </w:numPr>
        <w:rPr>
          <w:rFonts w:ascii="Times New Roman" w:eastAsia="Times New Roman" w:hAnsi="Times New Roman" w:cs="Times New Roman"/>
        </w:rPr>
      </w:pPr>
      <w:r>
        <w:rPr>
          <w:rFonts w:ascii="Times New Roman" w:hAnsi="Times New Roman"/>
        </w:rPr>
        <w:t>des éléments de mission de maîtrise d’œuvre « Mettre en œuvre » définis à la section II du décret n° 93-1268 du 29 novembre 1993 et dans l’annexe III de l’arrêté précité. Des missions complémentaires telles qu'OPC pourront ê</w:t>
      </w:r>
      <w:r>
        <w:rPr>
          <w:rFonts w:ascii="Times New Roman" w:hAnsi="Times New Roman"/>
          <w:lang w:val="it-IT"/>
        </w:rPr>
        <w:t>tre int</w:t>
      </w:r>
      <w:proofErr w:type="spellStart"/>
      <w:r>
        <w:rPr>
          <w:rFonts w:ascii="Times New Roman" w:hAnsi="Times New Roman"/>
        </w:rPr>
        <w:t>égrées</w:t>
      </w:r>
      <w:proofErr w:type="spellEnd"/>
      <w:r>
        <w:rPr>
          <w:rFonts w:ascii="Times New Roman" w:hAnsi="Times New Roman"/>
        </w:rPr>
        <w:t xml:space="preserve"> à cette seconde étape. Ces marchés seront définis précisément en fonction des choix de la maîtrise d’ouvrage. D’autres productions de documents pourront être attendues comme un plan guide paysage.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color w:val="E63B7A"/>
          <w:u w:color="E63B7A"/>
        </w:rPr>
      </w:pPr>
      <w:r>
        <w:rPr>
          <w:rFonts w:ascii="Times New Roman" w:hAnsi="Times New Roman"/>
        </w:rPr>
        <w:t>Des négociations permettront d’arrêter précisément le contenu des marchés subséquents.</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pouvoir adjudicateur est l’interlocuteur du titulaire pour la réalisation des prestations faisant l’objet du présent accord-cadre.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Il sera chargé du suivi de l’exécution des prestations lors de la notification de l’</w:t>
      </w:r>
      <w:r>
        <w:rPr>
          <w:rFonts w:ascii="Times New Roman" w:hAnsi="Times New Roman"/>
          <w:lang w:val="it-IT"/>
        </w:rPr>
        <w:t>accord-cadre.</w:t>
      </w:r>
    </w:p>
    <w:p w:rsidR="00931D27" w:rsidRDefault="001243EC">
      <w:pPr>
        <w:pStyle w:val="Sous-section1"/>
        <w:numPr>
          <w:ilvl w:val="0"/>
          <w:numId w:val="13"/>
        </w:numPr>
        <w:rPr>
          <w:b/>
          <w:bCs/>
        </w:rPr>
      </w:pPr>
      <w:bookmarkStart w:id="7" w:name="_Toc6"/>
      <w:r>
        <w:rPr>
          <w:b/>
          <w:bCs/>
        </w:rPr>
        <w:lastRenderedPageBreak/>
        <w:t>Pièces constitutives de l’accord-cadre</w:t>
      </w:r>
      <w:bookmarkEnd w:id="7"/>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pièces contractuelles de l’accord-cadre sont les suivantes, par ordre de priorité :</w:t>
      </w:r>
    </w:p>
    <w:p w:rsidR="00931D27" w:rsidRDefault="001243EC">
      <w:pPr>
        <w:pStyle w:val="CorpsA"/>
        <w:keepNext/>
        <w:numPr>
          <w:ilvl w:val="0"/>
          <w:numId w:val="12"/>
        </w:numPr>
        <w:rPr>
          <w:rFonts w:ascii="Times New Roman" w:eastAsia="Times New Roman" w:hAnsi="Times New Roman" w:cs="Times New Roman"/>
        </w:rPr>
      </w:pPr>
      <w:r>
        <w:rPr>
          <w:rFonts w:ascii="Times New Roman" w:hAnsi="Times New Roman"/>
        </w:rPr>
        <w:t xml:space="preserve">Le présent accord valant acte d’engagement et cahier des clauses administratives particulières, toutes </w:t>
      </w:r>
      <w:proofErr w:type="spellStart"/>
      <w:r>
        <w:rPr>
          <w:rFonts w:ascii="Times New Roman" w:hAnsi="Times New Roman"/>
        </w:rPr>
        <w:t>clauses</w:t>
      </w:r>
      <w:proofErr w:type="spellEnd"/>
      <w:r>
        <w:rPr>
          <w:rFonts w:ascii="Times New Roman" w:hAnsi="Times New Roman"/>
        </w:rPr>
        <w:t xml:space="preserve"> confondues et ses annexes ;</w:t>
      </w:r>
    </w:p>
    <w:p w:rsidR="00931D27" w:rsidRDefault="001243EC">
      <w:pPr>
        <w:pStyle w:val="CorpsA"/>
        <w:numPr>
          <w:ilvl w:val="0"/>
          <w:numId w:val="12"/>
        </w:numPr>
        <w:rPr>
          <w:rFonts w:ascii="Times New Roman" w:eastAsia="Times New Roman" w:hAnsi="Times New Roman" w:cs="Times New Roman"/>
        </w:rPr>
      </w:pPr>
      <w:r>
        <w:rPr>
          <w:rFonts w:ascii="Times New Roman" w:hAnsi="Times New Roman"/>
        </w:rPr>
        <w:t>Le cahier des charges</w:t>
      </w:r>
      <w:r>
        <w:rPr>
          <w:rFonts w:ascii="Times New Roman" w:hAnsi="Times New Roman"/>
          <w:b/>
          <w:bCs/>
          <w:i/>
          <w:iCs/>
        </w:rPr>
        <w:t xml:space="preserve"> </w:t>
      </w:r>
      <w:r>
        <w:rPr>
          <w:rFonts w:ascii="Times New Roman" w:hAnsi="Times New Roman"/>
        </w:rPr>
        <w:t>appelé à évoluer à l’issue de la première étape du présent accord.</w:t>
      </w:r>
    </w:p>
    <w:p w:rsidR="00931D27" w:rsidRDefault="001243EC">
      <w:pPr>
        <w:pStyle w:val="Sous-section1"/>
        <w:numPr>
          <w:ilvl w:val="0"/>
          <w:numId w:val="14"/>
        </w:numPr>
        <w:rPr>
          <w:b/>
          <w:bCs/>
        </w:rPr>
      </w:pPr>
      <w:bookmarkStart w:id="8" w:name="_Toc7"/>
      <w:r>
        <w:rPr>
          <w:b/>
          <w:bCs/>
        </w:rPr>
        <w:t>Durée de l’accord-cadre - entrée en vigueur</w:t>
      </w:r>
      <w:bookmarkEnd w:id="8"/>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it-IT"/>
        </w:rPr>
        <w:t>La dur</w:t>
      </w:r>
      <w:proofErr w:type="spellStart"/>
      <w:r>
        <w:rPr>
          <w:rFonts w:ascii="Times New Roman" w:hAnsi="Times New Roman"/>
        </w:rPr>
        <w:t>ée</w:t>
      </w:r>
      <w:proofErr w:type="spellEnd"/>
      <w:r>
        <w:rPr>
          <w:rFonts w:ascii="Times New Roman" w:hAnsi="Times New Roman"/>
        </w:rPr>
        <w:t xml:space="preserve"> de l’accord-cadre est de 6 ans. La durée maximale de l’accord-cadre étant fixée à 4 ans, il est proposé ici de le prolonger de 2 ans, le portant à 6 ans, en raison du processus de projet intégrant la concertation ainsi que les </w:t>
      </w:r>
      <w:proofErr w:type="spellStart"/>
      <w:r>
        <w:rPr>
          <w:rFonts w:ascii="Times New Roman" w:hAnsi="Times New Roman"/>
        </w:rPr>
        <w:t>diffé</w:t>
      </w:r>
      <w:proofErr w:type="spellEnd"/>
      <w:r>
        <w:rPr>
          <w:rFonts w:ascii="Times New Roman" w:hAnsi="Times New Roman"/>
          <w:lang w:val="pt-PT"/>
        </w:rPr>
        <w:t xml:space="preserve">rentes </w:t>
      </w:r>
      <w:r>
        <w:rPr>
          <w:rFonts w:ascii="Times New Roman" w:hAnsi="Times New Roman"/>
        </w:rPr>
        <w:t xml:space="preserve">étapes administratives liées au contexte réglementaire (site </w:t>
      </w:r>
      <w:r>
        <w:rPr>
          <w:rFonts w:ascii="Times New Roman" w:hAnsi="Times New Roman"/>
          <w:lang w:val="it-IT"/>
        </w:rPr>
        <w:t>Natura 2000</w:t>
      </w:r>
      <w:r>
        <w:rPr>
          <w:rFonts w:ascii="Times New Roman" w:hAnsi="Times New Roman"/>
        </w:rPr>
        <w:t xml:space="preserve">). Les temps d’études et d’autorisations administratives pourraient nécessiter ce temps supplémentaire.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La conclusion des marchés passés sur la base du présent accord-cadre ne peut se faire que pendant la durée de validité de l’</w:t>
      </w:r>
      <w:r>
        <w:rPr>
          <w:rFonts w:ascii="Times New Roman" w:hAnsi="Times New Roman"/>
          <w:lang w:val="it-IT"/>
        </w:rPr>
        <w:t>accord-cadre.</w:t>
      </w:r>
    </w:p>
    <w:p w:rsidR="00931D27" w:rsidRDefault="001243EC">
      <w:pPr>
        <w:pStyle w:val="Sous-section1"/>
        <w:numPr>
          <w:ilvl w:val="0"/>
          <w:numId w:val="7"/>
        </w:numPr>
        <w:rPr>
          <w:b/>
          <w:bCs/>
        </w:rPr>
      </w:pPr>
      <w:bookmarkStart w:id="9" w:name="_Toc8"/>
      <w:r>
        <w:rPr>
          <w:b/>
          <w:bCs/>
        </w:rPr>
        <w:t>Montant de l'accord-cadre</w:t>
      </w:r>
      <w:bookmarkEnd w:id="9"/>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Montant minimum H.T. de l’accord-cadre : sans objet</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Montant maximum H.T. de l’accord-cadre : 221 000 € H.T.</w:t>
      </w:r>
    </w:p>
    <w:p w:rsidR="00931D27" w:rsidRDefault="001243EC">
      <w:pPr>
        <w:pStyle w:val="Sous-section1"/>
        <w:numPr>
          <w:ilvl w:val="0"/>
          <w:numId w:val="7"/>
        </w:numPr>
        <w:rPr>
          <w:b/>
          <w:bCs/>
        </w:rPr>
      </w:pPr>
      <w:bookmarkStart w:id="10" w:name="_Toc9"/>
      <w:r>
        <w:rPr>
          <w:b/>
          <w:bCs/>
          <w:lang w:val="it-IT"/>
        </w:rPr>
        <w:t>Modalit</w:t>
      </w:r>
      <w:r>
        <w:rPr>
          <w:b/>
          <w:bCs/>
        </w:rPr>
        <w:t>é</w:t>
      </w:r>
      <w:r>
        <w:rPr>
          <w:b/>
          <w:bCs/>
          <w:lang w:val="pt-PT"/>
        </w:rPr>
        <w:t>s de d</w:t>
      </w:r>
      <w:proofErr w:type="spellStart"/>
      <w:r>
        <w:rPr>
          <w:b/>
          <w:bCs/>
        </w:rPr>
        <w:t>étermination</w:t>
      </w:r>
      <w:proofErr w:type="spellEnd"/>
      <w:r>
        <w:rPr>
          <w:b/>
          <w:bCs/>
        </w:rPr>
        <w:t xml:space="preserve"> de la rémunération du titulaire</w:t>
      </w:r>
      <w:bookmarkEnd w:id="10"/>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prix qui serviront de base pour déterminer la rémunération des prestataires sont établis dans le tableau des prix journaliers de référence (annexe du présent accord). Les prix de référence ainsi fixés par le présent accord-cadre seront actualisés pour servir de base à la négociation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dans les conditions suivantes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A partir d'un dé</w:t>
      </w:r>
      <w:r>
        <w:rPr>
          <w:rFonts w:ascii="Times New Roman" w:hAnsi="Times New Roman"/>
          <w:lang w:val="it-IT"/>
        </w:rPr>
        <w:t>lai sup</w:t>
      </w:r>
      <w:proofErr w:type="spellStart"/>
      <w:r>
        <w:rPr>
          <w:rFonts w:ascii="Times New Roman" w:hAnsi="Times New Roman"/>
        </w:rPr>
        <w:t>érieur</w:t>
      </w:r>
      <w:proofErr w:type="spellEnd"/>
      <w:r>
        <w:rPr>
          <w:rFonts w:ascii="Times New Roman" w:hAnsi="Times New Roman"/>
        </w:rPr>
        <w:t xml:space="preserve"> à trois mois après la signature du présent accord, l'actualisation est effectuée par l'application d'un coefficient </w:t>
      </w:r>
      <w:r>
        <w:rPr>
          <w:rFonts w:ascii="Times New Roman" w:hAnsi="Times New Roman"/>
          <w:b/>
          <w:bCs/>
        </w:rPr>
        <w:t>C</w:t>
      </w:r>
      <w:r>
        <w:rPr>
          <w:rFonts w:ascii="Times New Roman" w:hAnsi="Times New Roman"/>
          <w:b/>
          <w:bCs/>
          <w:vertAlign w:val="subscript"/>
        </w:rPr>
        <w:t>i</w:t>
      </w:r>
      <w:r>
        <w:rPr>
          <w:rFonts w:ascii="Times New Roman" w:hAnsi="Times New Roman"/>
        </w:rPr>
        <w:t xml:space="preserve"> d'actualisation aux prix journaliers de </w:t>
      </w:r>
      <w:proofErr w:type="spellStart"/>
      <w:r>
        <w:rPr>
          <w:rFonts w:ascii="Times New Roman" w:hAnsi="Times New Roman"/>
        </w:rPr>
        <w:t>réfé</w:t>
      </w:r>
      <w:proofErr w:type="spellEnd"/>
      <w:r>
        <w:rPr>
          <w:rFonts w:ascii="Times New Roman" w:hAnsi="Times New Roman"/>
          <w:lang w:val="it-IT"/>
        </w:rPr>
        <w:t>rence.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32"/>
          <w:szCs w:val="32"/>
        </w:rPr>
      </w:pPr>
      <w:r>
        <w:rPr>
          <w:rFonts w:ascii="Times New Roman" w:hAnsi="Times New Roman"/>
          <w:sz w:val="32"/>
          <w:szCs w:val="32"/>
        </w:rPr>
        <w:t>C</w:t>
      </w:r>
      <w:r>
        <w:rPr>
          <w:rFonts w:ascii="Times New Roman" w:hAnsi="Times New Roman"/>
          <w:sz w:val="32"/>
          <w:szCs w:val="32"/>
          <w:vertAlign w:val="subscript"/>
        </w:rPr>
        <w:t>i</w:t>
      </w:r>
      <w:r>
        <w:rPr>
          <w:rFonts w:ascii="Times New Roman" w:hAnsi="Times New Roman"/>
          <w:sz w:val="32"/>
          <w:szCs w:val="32"/>
        </w:rPr>
        <w:t xml:space="preserve"> = I</w:t>
      </w:r>
      <w:r>
        <w:rPr>
          <w:rFonts w:ascii="Times New Roman" w:hAnsi="Times New Roman"/>
          <w:sz w:val="32"/>
          <w:szCs w:val="32"/>
          <w:vertAlign w:val="subscript"/>
        </w:rPr>
        <w:t xml:space="preserve">M-3 </w:t>
      </w:r>
      <w:r>
        <w:rPr>
          <w:rFonts w:ascii="Times New Roman" w:hAnsi="Times New Roman"/>
          <w:sz w:val="32"/>
          <w:szCs w:val="32"/>
        </w:rPr>
        <w:t>/ I</w:t>
      </w:r>
      <w:r>
        <w:rPr>
          <w:rFonts w:ascii="Times New Roman" w:hAnsi="Times New Roman"/>
          <w:sz w:val="32"/>
          <w:szCs w:val="32"/>
          <w:vertAlign w:val="subscript"/>
        </w:rPr>
        <w:t>M0</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40" w:after="20"/>
        <w:rPr>
          <w:rFonts w:ascii="Times New Roman" w:eastAsia="Times New Roman" w:hAnsi="Times New Roman" w:cs="Times New Roman"/>
        </w:rPr>
      </w:pPr>
      <w:proofErr w:type="spellStart"/>
      <w:r>
        <w:rPr>
          <w:rFonts w:ascii="Times New Roman" w:hAnsi="Times New Roman"/>
          <w:sz w:val="28"/>
          <w:szCs w:val="28"/>
        </w:rPr>
        <w:t>I</w:t>
      </w:r>
      <w:r>
        <w:rPr>
          <w:rFonts w:ascii="Times New Roman" w:hAnsi="Times New Roman"/>
          <w:sz w:val="28"/>
          <w:szCs w:val="28"/>
          <w:vertAlign w:val="subscript"/>
        </w:rPr>
        <w:t>Mo</w:t>
      </w:r>
      <w:proofErr w:type="spellEnd"/>
      <w:r>
        <w:rPr>
          <w:rFonts w:ascii="Times New Roman" w:hAnsi="Times New Roman"/>
        </w:rPr>
        <w:t xml:space="preserve"> est l'index Ingénierie </w:t>
      </w:r>
      <w:r>
        <w:rPr>
          <w:rFonts w:ascii="Times New Roman" w:hAnsi="Times New Roman"/>
          <w:sz w:val="28"/>
          <w:szCs w:val="28"/>
        </w:rPr>
        <w:t>I</w:t>
      </w:r>
      <w:r>
        <w:rPr>
          <w:rFonts w:ascii="Times New Roman" w:hAnsi="Times New Roman"/>
        </w:rPr>
        <w:t xml:space="preserve"> du mois "M0" (mois de la signature du présent accord)</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40" w:after="20"/>
        <w:rPr>
          <w:rFonts w:ascii="Times New Roman" w:eastAsia="Times New Roman" w:hAnsi="Times New Roman" w:cs="Times New Roman"/>
        </w:rPr>
      </w:pPr>
      <w:r>
        <w:rPr>
          <w:rFonts w:ascii="Times New Roman" w:hAnsi="Times New Roman"/>
          <w:sz w:val="28"/>
          <w:szCs w:val="28"/>
        </w:rPr>
        <w:t>I</w:t>
      </w:r>
      <w:r>
        <w:rPr>
          <w:rFonts w:ascii="Times New Roman" w:hAnsi="Times New Roman"/>
          <w:sz w:val="28"/>
          <w:szCs w:val="28"/>
          <w:vertAlign w:val="subscript"/>
        </w:rPr>
        <w:t>M-3</w:t>
      </w:r>
      <w:r>
        <w:rPr>
          <w:rFonts w:ascii="Times New Roman" w:hAnsi="Times New Roman"/>
        </w:rPr>
        <w:t xml:space="preserve"> est l'index Ingénierie du mois antérieur de trois mois au mois "M" de la négociation du marché </w:t>
      </w:r>
      <w:r>
        <w:rPr>
          <w:rFonts w:ascii="Times New Roman" w:hAnsi="Times New Roman"/>
          <w:lang w:val="pt-PT"/>
        </w:rPr>
        <w:t>subs</w:t>
      </w:r>
      <w:r>
        <w:rPr>
          <w:rFonts w:ascii="Times New Roman" w:hAnsi="Times New Roman"/>
        </w:rPr>
        <w:t>é</w:t>
      </w:r>
      <w:r>
        <w:rPr>
          <w:rFonts w:ascii="Times New Roman" w:hAnsi="Times New Roman"/>
          <w:lang w:val="pt-PT"/>
        </w:rPr>
        <w:t>quent.</w:t>
      </w:r>
    </w:p>
    <w:p w:rsidR="00931D27" w:rsidRDefault="001243EC">
      <w:pPr>
        <w:pStyle w:val="Sous-section1"/>
        <w:numPr>
          <w:ilvl w:val="0"/>
          <w:numId w:val="7"/>
        </w:numPr>
        <w:rPr>
          <w:b/>
          <w:bCs/>
        </w:rPr>
      </w:pPr>
      <w:bookmarkStart w:id="11" w:name="_Toc10"/>
      <w:r>
        <w:rPr>
          <w:b/>
          <w:bCs/>
          <w:lang w:val="it-IT"/>
        </w:rPr>
        <w:t>Modalit</w:t>
      </w:r>
      <w:proofErr w:type="spellStart"/>
      <w:r>
        <w:rPr>
          <w:b/>
          <w:bCs/>
        </w:rPr>
        <w:t>és</w:t>
      </w:r>
      <w:proofErr w:type="spellEnd"/>
      <w:r>
        <w:rPr>
          <w:b/>
          <w:bCs/>
        </w:rPr>
        <w:t xml:space="preserve"> d'exécution des marché</w:t>
      </w:r>
      <w:r>
        <w:rPr>
          <w:b/>
          <w:bCs/>
          <w:lang w:val="pt-PT"/>
        </w:rPr>
        <w:t>s subs</w:t>
      </w:r>
      <w:proofErr w:type="spellStart"/>
      <w:r>
        <w:rPr>
          <w:b/>
          <w:bCs/>
        </w:rPr>
        <w:t>équents</w:t>
      </w:r>
      <w:proofErr w:type="spellEnd"/>
      <w:r>
        <w:rPr>
          <w:b/>
          <w:bCs/>
        </w:rPr>
        <w:t xml:space="preserve"> régis par le présent accord</w:t>
      </w:r>
      <w:bookmarkEnd w:id="11"/>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D'une manière générale, les éléments contractuels indispensables à la bonne exécution des marché</w:t>
      </w:r>
      <w:r>
        <w:rPr>
          <w:rFonts w:ascii="Times New Roman" w:hAnsi="Times New Roman"/>
          <w:lang w:val="pt-PT"/>
        </w:rPr>
        <w:t>s (d</w:t>
      </w:r>
      <w:proofErr w:type="spellStart"/>
      <w:r>
        <w:rPr>
          <w:rFonts w:ascii="Times New Roman" w:hAnsi="Times New Roman"/>
        </w:rPr>
        <w:t>élais</w:t>
      </w:r>
      <w:proofErr w:type="spellEnd"/>
      <w:r>
        <w:rPr>
          <w:rFonts w:ascii="Times New Roman" w:hAnsi="Times New Roman"/>
        </w:rPr>
        <w:t xml:space="preserve"> d'exécution, pénalités, engagements du titulaire...) qui ne sont pas régis par le présent accord seront fixés dans les marché</w:t>
      </w:r>
      <w:r>
        <w:rPr>
          <w:rFonts w:ascii="Times New Roman" w:hAnsi="Times New Roman"/>
          <w:lang w:val="pt-PT"/>
        </w:rPr>
        <w:t>s subs</w:t>
      </w:r>
      <w:r>
        <w:rPr>
          <w:rFonts w:ascii="Times New Roman" w:hAnsi="Times New Roman"/>
        </w:rPr>
        <w:t>é</w:t>
      </w:r>
      <w:r>
        <w:rPr>
          <w:rFonts w:ascii="Times New Roman" w:hAnsi="Times New Roman"/>
          <w:lang w:val="pt-PT"/>
        </w:rPr>
        <w:t>quents.</w:t>
      </w:r>
    </w:p>
    <w:p w:rsidR="00931D27" w:rsidRDefault="001243EC">
      <w:pPr>
        <w:pStyle w:val="Sous-section2"/>
        <w:numPr>
          <w:ilvl w:val="1"/>
          <w:numId w:val="7"/>
        </w:numPr>
        <w:rPr>
          <w:b/>
          <w:bCs/>
        </w:rPr>
      </w:pPr>
      <w:bookmarkStart w:id="12" w:name="_Toc11"/>
      <w:r>
        <w:rPr>
          <w:b/>
          <w:bCs/>
        </w:rPr>
        <w:lastRenderedPageBreak/>
        <w:t>Forme des marchés et missions confiées</w:t>
      </w:r>
      <w:bookmarkEnd w:id="12"/>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contenu détaillé de la mission confiée au titre de chacun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sera défini dans chacun des marchés, à partir de la définition des éléments de mission fixée dans l’</w:t>
      </w:r>
      <w:proofErr w:type="spellStart"/>
      <w:r>
        <w:rPr>
          <w:rFonts w:ascii="Times New Roman" w:hAnsi="Times New Roman"/>
          <w:lang w:val="es-ES_tradnl"/>
        </w:rPr>
        <w:t>annexe</w:t>
      </w:r>
      <w:proofErr w:type="spellEnd"/>
      <w:r>
        <w:rPr>
          <w:rFonts w:ascii="Times New Roman" w:hAnsi="Times New Roman"/>
          <w:lang w:val="es-ES_tradnl"/>
        </w:rPr>
        <w:t xml:space="preserve"> III de l</w:t>
      </w:r>
      <w:r>
        <w:rPr>
          <w:rFonts w:ascii="Times New Roman" w:hAnsi="Times New Roman"/>
        </w:rPr>
        <w:t xml:space="preserve">’arrêté du 21 décembre 1993 pris en application du décret 93-1268 du 29 novembre 1993 lorsqu’elle existe et librement pour les marchés ne relevant pas de la maîtrise d’œuvre. Les marchés conclus sur la base de l’accord-cadre sont fractionnés suivant la description faite dans l'article 3 : Objet de l'accord-cadre et des marchés conclus sur la base du présent accord. </w:t>
      </w:r>
    </w:p>
    <w:p w:rsidR="00931D27" w:rsidRDefault="001243EC">
      <w:pPr>
        <w:pStyle w:val="Sous-section2"/>
        <w:numPr>
          <w:ilvl w:val="1"/>
          <w:numId w:val="7"/>
        </w:numPr>
        <w:rPr>
          <w:b/>
          <w:bCs/>
        </w:rPr>
      </w:pPr>
      <w:bookmarkStart w:id="13" w:name="_Toc12"/>
      <w:r>
        <w:rPr>
          <w:b/>
          <w:bCs/>
          <w:lang w:val="it-IT"/>
        </w:rPr>
        <w:t>Modalit</w:t>
      </w:r>
      <w:proofErr w:type="spellStart"/>
      <w:r>
        <w:rPr>
          <w:b/>
          <w:bCs/>
        </w:rPr>
        <w:t>és</w:t>
      </w:r>
      <w:proofErr w:type="spellEnd"/>
      <w:r>
        <w:rPr>
          <w:b/>
          <w:bCs/>
        </w:rPr>
        <w:t xml:space="preserve"> d'attribution des marchés</w:t>
      </w:r>
      <w:bookmarkEnd w:id="13"/>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Le premier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sera notifié au titulaire du présent accord dans les 3 mois qui suivent sa notification.</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prestataire s’engage, à la demande du maître d’ouvrage, à remettre une proposition valant offre pour l’attribution de chacun des marché</w:t>
      </w:r>
      <w:r>
        <w:rPr>
          <w:rFonts w:ascii="Times New Roman" w:hAnsi="Times New Roman"/>
          <w:lang w:val="pt-PT"/>
        </w:rPr>
        <w:t>s subs</w:t>
      </w:r>
      <w:r>
        <w:rPr>
          <w:rFonts w:ascii="Times New Roman" w:hAnsi="Times New Roman"/>
        </w:rPr>
        <w:t>é</w:t>
      </w:r>
      <w:r>
        <w:rPr>
          <w:rFonts w:ascii="Times New Roman" w:hAnsi="Times New Roman"/>
          <w:lang w:val="pt-PT"/>
        </w:rPr>
        <w:t>quents.</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Ces derniers seront attribué</w:t>
      </w:r>
      <w:r>
        <w:rPr>
          <w:rFonts w:ascii="Times New Roman" w:hAnsi="Times New Roman"/>
          <w:lang w:val="pt-PT"/>
        </w:rPr>
        <w:t>s, apr</w:t>
      </w:r>
      <w:r>
        <w:rPr>
          <w:rFonts w:ascii="Times New Roman" w:hAnsi="Times New Roman"/>
        </w:rPr>
        <w:t>ès négociation, sur la base du cahier des charges et de l’</w:t>
      </w:r>
      <w:r>
        <w:rPr>
          <w:rFonts w:ascii="Times New Roman" w:hAnsi="Times New Roman"/>
          <w:lang w:val="it-IT"/>
        </w:rPr>
        <w:t>offre compl</w:t>
      </w:r>
      <w:proofErr w:type="spellStart"/>
      <w:r>
        <w:rPr>
          <w:rFonts w:ascii="Times New Roman" w:hAnsi="Times New Roman"/>
        </w:rPr>
        <w:t>émentaire</w:t>
      </w:r>
      <w:proofErr w:type="spellEnd"/>
      <w:r>
        <w:rPr>
          <w:rFonts w:ascii="Times New Roman" w:hAnsi="Times New Roman"/>
        </w:rPr>
        <w:t xml:space="preserve"> respectivement fournis par le maître d’ouvrage et le titulaire de l’</w:t>
      </w:r>
      <w:r>
        <w:rPr>
          <w:rFonts w:ascii="Times New Roman" w:hAnsi="Times New Roman"/>
          <w:lang w:val="it-IT"/>
        </w:rPr>
        <w:t>accord-cadre.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Pour leur exécution, les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intégreront les clauses d’un cahier des clauses administratives fourni en qualité </w:t>
      </w:r>
      <w:r>
        <w:rPr>
          <w:rFonts w:ascii="Times New Roman" w:hAnsi="Times New Roman"/>
          <w:lang w:val="it-IT"/>
        </w:rPr>
        <w:t>de piè</w:t>
      </w:r>
      <w:r>
        <w:rPr>
          <w:rFonts w:ascii="Times New Roman" w:hAnsi="Times New Roman"/>
        </w:rPr>
        <w:t xml:space="preserve">ce constitutive du marché </w:t>
      </w:r>
      <w:r>
        <w:rPr>
          <w:rFonts w:ascii="Times New Roman" w:hAnsi="Times New Roman"/>
          <w:lang w:val="pt-PT"/>
        </w:rPr>
        <w:t>subs</w:t>
      </w:r>
      <w:r>
        <w:rPr>
          <w:rFonts w:ascii="Times New Roman" w:hAnsi="Times New Roman"/>
        </w:rPr>
        <w:t>é</w:t>
      </w:r>
      <w:r>
        <w:rPr>
          <w:rFonts w:ascii="Times New Roman" w:hAnsi="Times New Roman"/>
          <w:lang w:val="pt-PT"/>
        </w:rPr>
        <w:t>quent.</w:t>
      </w:r>
    </w:p>
    <w:p w:rsidR="00931D27" w:rsidRDefault="001243EC">
      <w:pPr>
        <w:pStyle w:val="Sous-section2"/>
        <w:numPr>
          <w:ilvl w:val="1"/>
          <w:numId w:val="7"/>
        </w:numPr>
        <w:rPr>
          <w:b/>
          <w:bCs/>
        </w:rPr>
      </w:pPr>
      <w:bookmarkStart w:id="14" w:name="_Toc13"/>
      <w:r>
        <w:rPr>
          <w:b/>
          <w:bCs/>
        </w:rPr>
        <w:t>Engagements du titulaire</w:t>
      </w:r>
      <w:bookmarkEnd w:id="14"/>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prévoiront des engagements du titulaire sur le coût prévisionnel des travaux le cas échéant.</w:t>
      </w:r>
    </w:p>
    <w:p w:rsidR="00931D27" w:rsidRDefault="001243EC">
      <w:pPr>
        <w:pStyle w:val="Sous-section2"/>
        <w:numPr>
          <w:ilvl w:val="1"/>
          <w:numId w:val="7"/>
        </w:numPr>
        <w:rPr>
          <w:b/>
          <w:bCs/>
        </w:rPr>
      </w:pPr>
      <w:bookmarkStart w:id="15" w:name="_Toc14"/>
      <w:r>
        <w:rPr>
          <w:b/>
          <w:bCs/>
        </w:rPr>
        <w:t>Rémunération fixée dans les marché</w:t>
      </w:r>
      <w:r>
        <w:rPr>
          <w:b/>
          <w:bCs/>
          <w:lang w:val="pt-PT"/>
        </w:rPr>
        <w:t>s subs</w:t>
      </w:r>
      <w:proofErr w:type="spellStart"/>
      <w:r>
        <w:rPr>
          <w:b/>
          <w:bCs/>
        </w:rPr>
        <w:t>équents</w:t>
      </w:r>
      <w:bookmarkEnd w:id="15"/>
      <w:proofErr w:type="spellEnd"/>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La rémunération fixée dans les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est forfaitaire et établie sur la base des prix de référence unitaires fixés dans le présent accord-cadre. Le caractère forfaitaire du marché n’interdit pas de convenir que certaines prestations rendues nécessaires puissent être rémunérées sur la base d’un prix spécifique fixé dans le marché.</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prestataire s’engage à ne percevoir aucune autre rémunération d’un tiers au titre de la réalisation de l’opération.</w:t>
      </w:r>
    </w:p>
    <w:p w:rsidR="00931D27" w:rsidRDefault="001243EC">
      <w:pPr>
        <w:pStyle w:val="Sous-section2"/>
        <w:numPr>
          <w:ilvl w:val="1"/>
          <w:numId w:val="7"/>
        </w:numPr>
        <w:rPr>
          <w:b/>
          <w:bCs/>
        </w:rPr>
      </w:pPr>
      <w:bookmarkStart w:id="16" w:name="_Toc15"/>
      <w:r>
        <w:rPr>
          <w:b/>
          <w:bCs/>
        </w:rPr>
        <w:t>Variation des prix des marchés conclus sur la base du présent accord</w:t>
      </w:r>
      <w:bookmarkEnd w:id="16"/>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prix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d’une durée supérieure à 3 mois seront révisés dans les conditions fixées par chacun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 le prix du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est réputé établi sur la base des conditions économiques en vigueur au mois M</w:t>
      </w:r>
      <w:r>
        <w:rPr>
          <w:rFonts w:ascii="Times New Roman" w:hAnsi="Times New Roman"/>
          <w:vertAlign w:val="subscript"/>
        </w:rPr>
        <w:t>0</w:t>
      </w:r>
      <w:r>
        <w:rPr>
          <w:rFonts w:ascii="Times New Roman" w:hAnsi="Times New Roman"/>
          <w:lang w:val="pt-PT"/>
        </w:rPr>
        <w:t xml:space="preserve"> fix</w:t>
      </w:r>
      <w:r>
        <w:rPr>
          <w:rFonts w:ascii="Times New Roman" w:hAnsi="Times New Roman"/>
        </w:rPr>
        <w:t xml:space="preserve">é à l’acte d’engagement dudit marché et dans le cas de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inférieur à 3 mois : le prix ferme est actualisé </w:t>
      </w:r>
      <w:r>
        <w:rPr>
          <w:rFonts w:ascii="Times New Roman" w:hAnsi="Times New Roman"/>
          <w:lang w:val="it-IT"/>
        </w:rPr>
        <w:t>si un d</w:t>
      </w:r>
      <w:r>
        <w:rPr>
          <w:rFonts w:ascii="Times New Roman" w:hAnsi="Times New Roman"/>
        </w:rPr>
        <w:t>é</w:t>
      </w:r>
      <w:r>
        <w:rPr>
          <w:rFonts w:ascii="Times New Roman" w:hAnsi="Times New Roman"/>
          <w:lang w:val="it-IT"/>
        </w:rPr>
        <w:t>lai sup</w:t>
      </w:r>
      <w:proofErr w:type="spellStart"/>
      <w:r>
        <w:rPr>
          <w:rFonts w:ascii="Times New Roman" w:hAnsi="Times New Roman"/>
        </w:rPr>
        <w:t>érieur</w:t>
      </w:r>
      <w:proofErr w:type="spellEnd"/>
      <w:r>
        <w:rPr>
          <w:rFonts w:ascii="Times New Roman" w:hAnsi="Times New Roman"/>
        </w:rPr>
        <w:t xml:space="preserve"> à trois mois s’écoule entre le mois M</w:t>
      </w:r>
      <w:r>
        <w:rPr>
          <w:rFonts w:ascii="Times New Roman" w:hAnsi="Times New Roman"/>
          <w:vertAlign w:val="subscript"/>
        </w:rPr>
        <w:t>0</w:t>
      </w:r>
      <w:r>
        <w:rPr>
          <w:rFonts w:ascii="Times New Roman" w:hAnsi="Times New Roman"/>
        </w:rPr>
        <w:t xml:space="preserve"> du marché et la date de commencement d’exécution des prestations.</w:t>
      </w:r>
    </w:p>
    <w:p w:rsidR="00931D27" w:rsidRDefault="001243EC">
      <w:pPr>
        <w:pStyle w:val="Sous-section2"/>
        <w:numPr>
          <w:ilvl w:val="1"/>
          <w:numId w:val="7"/>
        </w:numPr>
        <w:rPr>
          <w:b/>
          <w:bCs/>
        </w:rPr>
      </w:pPr>
      <w:bookmarkStart w:id="17" w:name="_Toc16"/>
      <w:r>
        <w:rPr>
          <w:b/>
          <w:bCs/>
        </w:rPr>
        <w:t>Règlement des comptes</w:t>
      </w:r>
      <w:bookmarkEnd w:id="17"/>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règlement des prestations de chacun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fera l’objet de paiement sous forme d’acomptes et d’un solde dans les conditions fixées par le marché.</w:t>
      </w:r>
    </w:p>
    <w:p w:rsidR="00931D27" w:rsidRDefault="001243EC">
      <w:pPr>
        <w:pStyle w:val="Sous-section2"/>
        <w:numPr>
          <w:ilvl w:val="1"/>
          <w:numId w:val="7"/>
        </w:numPr>
        <w:rPr>
          <w:b/>
          <w:bCs/>
        </w:rPr>
      </w:pPr>
      <w:bookmarkStart w:id="18" w:name="_Toc17"/>
      <w:r>
        <w:rPr>
          <w:b/>
          <w:bCs/>
        </w:rPr>
        <w:t>Avances</w:t>
      </w:r>
      <w:bookmarkEnd w:id="18"/>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Lorsque le montant initial du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est supérieur à 50 000 € HT et que le délai d’exécution du marché est supérieur à 2 mois, l’avance prévue aux articles 110 à 113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2016-360 du 25 mars 2016 relatif aux marchés publics est versée au titulaire, sauf en cas de refus de celui-ci. Cette avance n’est due que sur la part du marché qui n’a pas été sous-traité</w:t>
      </w:r>
      <w:r>
        <w:rPr>
          <w:rFonts w:ascii="Times New Roman" w:hAnsi="Times New Roman"/>
          <w:lang w:val="it-IT"/>
        </w:rPr>
        <w:t xml:space="preserve">e.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lastRenderedPageBreak/>
        <w:t>Le maître d’ouvrage peut également prévoir, dans le marché, le versement de cette avance, même lorsqu’</w:t>
      </w:r>
      <w:r>
        <w:rPr>
          <w:rFonts w:ascii="Times New Roman" w:hAnsi="Times New Roman"/>
          <w:lang w:val="it-IT"/>
        </w:rPr>
        <w:t>elle n</w:t>
      </w:r>
      <w:r>
        <w:rPr>
          <w:rFonts w:ascii="Times New Roman" w:hAnsi="Times New Roman"/>
        </w:rPr>
        <w:t>’est pas obligatoire.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montant de l’avance et ses modalités de remboursement sont fixés dans chacun des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xml:space="preserve"> en fonction de la nature de la prestation à exécuter.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Une avance est versée, sur leur demande, aux sous-traitants bénéficiant du paiement direct, dans les conditions prévues à l’article 135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2016-360 du 25 mars 2016 relatif aux marchés publics.</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modalités de calcul et de remboursement de l’avance sont fixées à l’article 111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2016-360 du 25 mars 2016 relatif aux marchés publics.</w:t>
      </w:r>
    </w:p>
    <w:p w:rsidR="00931D27" w:rsidRDefault="001243EC">
      <w:pPr>
        <w:pStyle w:val="Sous-section2"/>
        <w:numPr>
          <w:ilvl w:val="1"/>
          <w:numId w:val="7"/>
        </w:numPr>
        <w:rPr>
          <w:b/>
          <w:bCs/>
        </w:rPr>
      </w:pPr>
      <w:bookmarkStart w:id="19" w:name="_Toc18"/>
      <w:r>
        <w:rPr>
          <w:b/>
          <w:bCs/>
        </w:rPr>
        <w:t>Délai de paiement</w:t>
      </w:r>
      <w:bookmarkEnd w:id="19"/>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délai global de paiement des avances, acomptes, soldes et indemnités est fixé à 30 jours conformément au Dé</w:t>
      </w:r>
      <w:r>
        <w:rPr>
          <w:rFonts w:ascii="Times New Roman" w:hAnsi="Times New Roman"/>
          <w:lang w:val="da-DK"/>
        </w:rPr>
        <w:t>cret n</w:t>
      </w:r>
      <w:r>
        <w:rPr>
          <w:rFonts w:ascii="Times New Roman" w:hAnsi="Times New Roman"/>
          <w:lang w:val="it-IT"/>
        </w:rPr>
        <w:t xml:space="preserve">° </w:t>
      </w:r>
      <w:r>
        <w:rPr>
          <w:rFonts w:ascii="Times New Roman" w:hAnsi="Times New Roman"/>
        </w:rPr>
        <w:t>2013-269 du 29 mars 2013 relatif à la lutte contre les retards de paiement dans les contrats de la commande publique.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défaut de paiement dans ce délai fait courir de plein droit et sans autre formalité, pour le titulaire du marché ou le sous-traitant, des intérêts moratoires, à compter du jour suivant l’expiration du délai. Le taux applicable est calculé conformément au Dé</w:t>
      </w:r>
      <w:r>
        <w:rPr>
          <w:rFonts w:ascii="Times New Roman" w:hAnsi="Times New Roman"/>
          <w:lang w:val="da-DK"/>
        </w:rPr>
        <w:t>cret n</w:t>
      </w:r>
      <w:r>
        <w:rPr>
          <w:rFonts w:ascii="Times New Roman" w:hAnsi="Times New Roman"/>
          <w:lang w:val="it-IT"/>
        </w:rPr>
        <w:t xml:space="preserve">° </w:t>
      </w:r>
      <w:r>
        <w:rPr>
          <w:rFonts w:ascii="Times New Roman" w:hAnsi="Times New Roman"/>
        </w:rPr>
        <w:t>2013-269 du 29 mars 2013 relatif à la lutte contre les retards de paiement dans les contrats de la commande publique</w:t>
      </w:r>
    </w:p>
    <w:p w:rsidR="00931D27" w:rsidRDefault="001243EC">
      <w:pPr>
        <w:pStyle w:val="Sous-section2"/>
        <w:numPr>
          <w:ilvl w:val="1"/>
          <w:numId w:val="7"/>
        </w:numPr>
        <w:rPr>
          <w:b/>
          <w:bCs/>
        </w:rPr>
      </w:pPr>
      <w:bookmarkStart w:id="20" w:name="_Toc19"/>
      <w:r>
        <w:rPr>
          <w:b/>
          <w:bCs/>
        </w:rPr>
        <w:t>Sous-traitance des marchés conclus sur la base du présent accord</w:t>
      </w:r>
      <w:bookmarkEnd w:id="20"/>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prestataire</w:t>
      </w:r>
      <w:r>
        <w:rPr>
          <w:rFonts w:ascii="Times New Roman" w:hAnsi="Times New Roman"/>
          <w:color w:val="578625"/>
          <w:u w:color="578625"/>
        </w:rPr>
        <w:t xml:space="preserve"> </w:t>
      </w:r>
      <w:r>
        <w:rPr>
          <w:rFonts w:ascii="Times New Roman" w:hAnsi="Times New Roman"/>
        </w:rPr>
        <w:t xml:space="preserve">peut, à tout moment, sous-traiter l’exécution de certaines parties de l’exécution d’un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sous réserve du respect des dispositions prévues aux articles 133 à 137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2016-360 du 25 mars 2016 relatif aux marchés publics et pour les architectes dans les conditions prévues par l’article 37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80-127 du 20 mars 1980 portant sur le code des devoirs professionnels.</w:t>
      </w:r>
    </w:p>
    <w:p w:rsidR="00931D27" w:rsidRDefault="001243EC">
      <w:pPr>
        <w:pStyle w:val="Sous-section1"/>
        <w:numPr>
          <w:ilvl w:val="0"/>
          <w:numId w:val="7"/>
        </w:numPr>
        <w:rPr>
          <w:b/>
          <w:bCs/>
        </w:rPr>
      </w:pPr>
      <w:bookmarkStart w:id="21" w:name="_Toc20"/>
      <w:r>
        <w:rPr>
          <w:b/>
          <w:bCs/>
        </w:rPr>
        <w:t>Assurances</w:t>
      </w:r>
      <w:bookmarkEnd w:id="21"/>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 maître d’ouvrage déclare avoir été informé par le prestataire de sa possibilité de souscrire, avant l’ouverture du chantier, une assurance de dommages à l’ouvrage et autres assurances facultatives pour couvrir les risques attachés à l’opération.</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Le(s) titulaire(s) des marchés conclus sur la base de l’accord-cadre et leurs sous-traitants agréés par le pouvoir adjudicateur devra (ont) justifier, au moyen d’attestations, des assurances obligatoires auxquelles il(s) est (sont) assujetti(s) dans le cadre des missions qui lui (leur) sont confiées à l'occasion de l’exécution des marchés conclus sur la base du présent accord-cadre. Il(s) s’assure(nt) en particulier pour couvrir la responsabilité dé</w:t>
      </w:r>
      <w:r>
        <w:rPr>
          <w:rFonts w:ascii="Times New Roman" w:hAnsi="Times New Roman"/>
          <w:lang w:val="it-IT"/>
        </w:rPr>
        <w:t xml:space="preserve">cennale </w:t>
      </w:r>
      <w:r>
        <w:rPr>
          <w:rFonts w:ascii="Times New Roman" w:hAnsi="Times New Roman"/>
        </w:rPr>
        <w:t>à laquelle il(s) est (sont) assujetti(s) du fait de la mission qui lui (leur) est (sont) confiée(s) dans les conditions fixées par chacun des marchés concerné</w:t>
      </w:r>
      <w:r>
        <w:rPr>
          <w:rFonts w:ascii="Times New Roman" w:hAnsi="Times New Roman"/>
          <w:lang w:val="pt-PT"/>
        </w:rPr>
        <w:t>s.</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L’attestation devra être remise dans un délai de 8 jours francs à compter de la notification de l’</w:t>
      </w:r>
      <w:r>
        <w:rPr>
          <w:rFonts w:ascii="Times New Roman" w:hAnsi="Times New Roman"/>
          <w:lang w:val="it-IT"/>
        </w:rPr>
        <w:t>accord-cadre.</w:t>
      </w:r>
    </w:p>
    <w:p w:rsidR="00931D27" w:rsidRDefault="001243EC">
      <w:pPr>
        <w:pStyle w:val="Sous-section1"/>
        <w:numPr>
          <w:ilvl w:val="0"/>
          <w:numId w:val="7"/>
        </w:numPr>
        <w:rPr>
          <w:b/>
          <w:bCs/>
        </w:rPr>
      </w:pPr>
      <w:bookmarkStart w:id="22" w:name="_Toc21"/>
      <w:r>
        <w:rPr>
          <w:b/>
          <w:bCs/>
        </w:rPr>
        <w:t>Modifications relatives au titulaire du présent accord</w:t>
      </w:r>
      <w:bookmarkEnd w:id="22"/>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En cas de modification de sa dénomination sociale, le titulaire doit impérativement en informer le pouvoir adjudicateur par écrit et communiquer un extrait </w:t>
      </w:r>
      <w:proofErr w:type="spellStart"/>
      <w:r>
        <w:rPr>
          <w:rFonts w:ascii="Times New Roman" w:hAnsi="Times New Roman"/>
        </w:rPr>
        <w:t>Kbis</w:t>
      </w:r>
      <w:proofErr w:type="spellEnd"/>
      <w:r>
        <w:rPr>
          <w:rFonts w:ascii="Times New Roman" w:hAnsi="Times New Roman"/>
        </w:rPr>
        <w:t xml:space="preserve"> mentionnant ce changement, dans les plus brefs dé</w:t>
      </w:r>
      <w:r>
        <w:rPr>
          <w:rFonts w:ascii="Times New Roman" w:hAnsi="Times New Roman"/>
          <w:lang w:val="pt-PT"/>
        </w:rPr>
        <w:t xml:space="preserve">lais.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nl-NL"/>
        </w:rPr>
        <w:lastRenderedPageBreak/>
        <w:t xml:space="preserve">De </w:t>
      </w:r>
      <w:r>
        <w:rPr>
          <w:rFonts w:ascii="Times New Roman" w:hAnsi="Times New Roman"/>
        </w:rPr>
        <w:t>même, le titulaire doit informer le pouvoir adjudicateur de tout projet de fusion ou d’absorption de l’entreprise titulaire et de tout projet de cession de l’accord-cadre dans les plus brefs délais et produire les documents et renseignements utiles qui lui seront notifiés concernant la nouvelle entreprise à qui l’accord-cadre est transféré ou cédé.</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En cas d’acceptation de la cession de l’accord-cadre par le pouvoir adjudicateur, elle fera l’objet d’un avenant constatant le transfert de l’accord-cadre au nouveau titulaire.</w:t>
      </w:r>
    </w:p>
    <w:p w:rsidR="00931D27" w:rsidRDefault="001243EC">
      <w:pPr>
        <w:pStyle w:val="Sous-section1"/>
        <w:numPr>
          <w:ilvl w:val="0"/>
          <w:numId w:val="7"/>
        </w:numPr>
        <w:rPr>
          <w:b/>
          <w:bCs/>
        </w:rPr>
      </w:pPr>
      <w:bookmarkStart w:id="23" w:name="_Toc22"/>
      <w:r>
        <w:rPr>
          <w:b/>
          <w:bCs/>
        </w:rPr>
        <w:t>Résiliation de l'accord-cadre et des marchés conclus sur la base du présent accord</w:t>
      </w:r>
      <w:bookmarkEnd w:id="23"/>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La résiliation de l’accord-cadre pourra être prononcée, en l’absence de marché subséquent en cours, sans faute du titulaire par simple notification du pouvoir adjudicateur et n’ouvrira droit au profit du titulaire à aucune indemnité.</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De plus, le présent accord peut être résilié par le maître d’ouvrage sans indemnité :</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pour des motifs d’intérêt général ;</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en cas d’inexactitude des documents ou renseignements mentionnés à l’article 48 du Décret n </w:t>
      </w:r>
      <w:r>
        <w:rPr>
          <w:rFonts w:ascii="Times New Roman" w:hAnsi="Times New Roman"/>
          <w:lang w:val="it-IT"/>
        </w:rPr>
        <w:t>°</w:t>
      </w:r>
      <w:r>
        <w:rPr>
          <w:rFonts w:ascii="Times New Roman" w:hAnsi="Times New Roman"/>
        </w:rPr>
        <w:t> 2016-360 du 25 mars 2016 relatif aux marchés publics ;</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en cas de refus de produire les pièces prévues aux articles 50 à 54 du Dé</w:t>
      </w:r>
      <w:r>
        <w:rPr>
          <w:rFonts w:ascii="Times New Roman" w:hAnsi="Times New Roman"/>
          <w:lang w:val="da-DK"/>
        </w:rPr>
        <w:t>cret n</w:t>
      </w:r>
      <w:r>
        <w:rPr>
          <w:rFonts w:ascii="Times New Roman" w:hAnsi="Times New Roman"/>
        </w:rPr>
        <w:t> </w:t>
      </w:r>
      <w:r>
        <w:rPr>
          <w:rFonts w:ascii="Times New Roman" w:hAnsi="Times New Roman"/>
          <w:lang w:val="it-IT"/>
        </w:rPr>
        <w:t>°</w:t>
      </w:r>
      <w:r>
        <w:rPr>
          <w:rFonts w:ascii="Times New Roman" w:hAnsi="Times New Roman"/>
        </w:rPr>
        <w:t> 2016-360 du 25 mars 2016 relatif aux marchés publics ;</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si, après mise en demeure restée infructueuse, le prestataire</w:t>
      </w:r>
      <w:r>
        <w:rPr>
          <w:rFonts w:ascii="Times New Roman" w:hAnsi="Times New Roman"/>
          <w:color w:val="578625"/>
          <w:u w:color="578625"/>
        </w:rPr>
        <w:t xml:space="preserve"> </w:t>
      </w:r>
      <w:r>
        <w:rPr>
          <w:rFonts w:ascii="Times New Roman" w:hAnsi="Times New Roman"/>
        </w:rPr>
        <w:t xml:space="preserve">n’a pas remis de proposition ou si la négociation n’aboutit pas en vue de l’attribution d’un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w:t>
      </w:r>
    </w:p>
    <w:p w:rsidR="00931D27" w:rsidRDefault="001243EC">
      <w:pPr>
        <w:pStyle w:val="Puceducorpsdetexte"/>
        <w:numPr>
          <w:ilvl w:val="0"/>
          <w:numId w:val="12"/>
        </w:numPr>
        <w:rPr>
          <w:rFonts w:ascii="Times New Roman" w:eastAsia="Times New Roman" w:hAnsi="Times New Roman" w:cs="Times New Roman"/>
        </w:rPr>
      </w:pPr>
      <w:r>
        <w:rPr>
          <w:rFonts w:ascii="Times New Roman" w:hAnsi="Times New Roman"/>
        </w:rPr>
        <w:t xml:space="preserve">lorsqu’une faute grave est commise dans l’exécution d’un marché </w:t>
      </w:r>
      <w:r>
        <w:rPr>
          <w:rFonts w:ascii="Times New Roman" w:hAnsi="Times New Roman"/>
          <w:lang w:val="pt-PT"/>
        </w:rPr>
        <w:t>subs</w:t>
      </w:r>
      <w:proofErr w:type="spellStart"/>
      <w:r>
        <w:rPr>
          <w:rFonts w:ascii="Times New Roman" w:hAnsi="Times New Roman"/>
        </w:rPr>
        <w:t>équent</w:t>
      </w:r>
      <w:proofErr w:type="spellEnd"/>
      <w:r>
        <w:rPr>
          <w:rFonts w:ascii="Times New Roman" w:hAnsi="Times New Roman"/>
        </w:rPr>
        <w:t xml:space="preserve"> ou si le titulaire n’a pas rempli ses obligations dans l’exécution d’un marché </w:t>
      </w:r>
      <w:r>
        <w:rPr>
          <w:rFonts w:ascii="Times New Roman" w:hAnsi="Times New Roman"/>
          <w:lang w:val="pt-PT"/>
        </w:rPr>
        <w:t>subs</w:t>
      </w:r>
      <w:r>
        <w:rPr>
          <w:rFonts w:ascii="Times New Roman" w:hAnsi="Times New Roman"/>
        </w:rPr>
        <w:t>é</w:t>
      </w:r>
      <w:r>
        <w:rPr>
          <w:rFonts w:ascii="Times New Roman" w:hAnsi="Times New Roman"/>
          <w:lang w:val="pt-PT"/>
        </w:rPr>
        <w:t>quent.</w:t>
      </w:r>
    </w:p>
    <w:p w:rsidR="00931D27" w:rsidRDefault="001243EC">
      <w:pPr>
        <w:pStyle w:val="Sous-section1"/>
        <w:numPr>
          <w:ilvl w:val="0"/>
          <w:numId w:val="15"/>
        </w:numPr>
        <w:rPr>
          <w:b/>
          <w:bCs/>
          <w:lang w:val="de-DE"/>
        </w:rPr>
      </w:pPr>
      <w:bookmarkStart w:id="24" w:name="_Toc23"/>
      <w:proofErr w:type="spellStart"/>
      <w:r>
        <w:rPr>
          <w:b/>
          <w:bCs/>
          <w:lang w:val="de-DE"/>
        </w:rPr>
        <w:t>Litiges</w:t>
      </w:r>
      <w:bookmarkEnd w:id="24"/>
      <w:proofErr w:type="spellEnd"/>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pt-PT"/>
        </w:rPr>
        <w:t xml:space="preserve">A </w:t>
      </w:r>
      <w:r>
        <w:rPr>
          <w:rFonts w:ascii="Times New Roman" w:hAnsi="Times New Roman"/>
        </w:rPr>
        <w:t>défaut de parvenir à un accord amiable et avant de saisir la juridiction compétente pour les litiges nés de l'exécution du présent accord-cadre, les parties peuvent convenir de saisir le comité consultatif de règlement amiable (conformément à l'article 142 du Dé</w:t>
      </w:r>
      <w:r>
        <w:rPr>
          <w:rFonts w:ascii="Times New Roman" w:hAnsi="Times New Roman"/>
          <w:lang w:val="da-DK"/>
        </w:rPr>
        <w:t>cret n</w:t>
      </w:r>
      <w:r>
        <w:rPr>
          <w:rFonts w:ascii="Times New Roman" w:hAnsi="Times New Roman"/>
          <w:lang w:val="it-IT"/>
        </w:rPr>
        <w:t>°</w:t>
      </w:r>
      <w:r>
        <w:rPr>
          <w:rFonts w:ascii="Times New Roman" w:hAnsi="Times New Roman"/>
        </w:rPr>
        <w:t xml:space="preserve"> 2016-360 du 25 mars 2016 relatif aux marchés publics).</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En cas de litige persistant, les parties conviennent, conformément à l'article R.312-11 du code de justice administrative, de saisir le tribunal administratif dans le ressort duquel se situe le maître d’ouvrage.</w:t>
      </w:r>
    </w:p>
    <w:p w:rsidR="00931D27" w:rsidRDefault="001243EC">
      <w:pPr>
        <w:pStyle w:val="Sous-section1"/>
        <w:numPr>
          <w:ilvl w:val="0"/>
          <w:numId w:val="7"/>
        </w:numPr>
        <w:rPr>
          <w:b/>
          <w:bCs/>
        </w:rPr>
      </w:pPr>
      <w:bookmarkStart w:id="25" w:name="_Toc24"/>
      <w:r>
        <w:rPr>
          <w:b/>
          <w:bCs/>
        </w:rPr>
        <w:lastRenderedPageBreak/>
        <w:t>Signatures des contractants</w:t>
      </w:r>
      <w:bookmarkEnd w:id="25"/>
    </w:p>
    <w:p w:rsidR="00931D27" w:rsidRDefault="001243EC">
      <w:pPr>
        <w:pStyle w:val="Sous-section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rPr>
          <w:rFonts w:ascii="Times New Roman" w:eastAsia="Times New Roman" w:hAnsi="Times New Roman" w:cs="Times New Roman"/>
        </w:rPr>
      </w:pPr>
      <w:r>
        <w:rPr>
          <w:rFonts w:ascii="Times New Roman" w:hAnsi="Times New Roman"/>
        </w:rPr>
        <w:t>Signature du titulaire</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Je, soussigné …………………………………………………………………</w:t>
      </w:r>
      <w:proofErr w:type="gramStart"/>
      <w:r>
        <w:rPr>
          <w:rFonts w:ascii="Times New Roman" w:hAnsi="Times New Roman"/>
        </w:rPr>
        <w:t>…(</w:t>
      </w:r>
      <w:proofErr w:type="gramEnd"/>
      <w:r>
        <w:rPr>
          <w:rFonts w:ascii="Times New Roman" w:hAnsi="Times New Roman"/>
        </w:rPr>
        <w:t>nom du signataire),</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Sous peine de résiliation de l’accord-cadre, après avoir pris connaissance de toutes les pièces du présent accord et apprécié sous ma seule responsabilité la nature et la difficulté des prestations à effectuer,</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de-DE"/>
        </w:rPr>
        <w:t>ATTESTE SUR L</w:t>
      </w:r>
      <w:r>
        <w:rPr>
          <w:rFonts w:ascii="Times New Roman" w:hAnsi="Times New Roman"/>
        </w:rPr>
        <w:t xml:space="preserve">’HONNEUR, que le travail sera réalisé </w:t>
      </w:r>
      <w:r>
        <w:rPr>
          <w:rFonts w:ascii="Times New Roman" w:hAnsi="Times New Roman"/>
          <w:lang w:val="pt-PT"/>
        </w:rPr>
        <w:t>conform</w:t>
      </w:r>
      <w:proofErr w:type="spellStart"/>
      <w:r>
        <w:rPr>
          <w:rFonts w:ascii="Times New Roman" w:hAnsi="Times New Roman"/>
        </w:rPr>
        <w:t>ément</w:t>
      </w:r>
      <w:proofErr w:type="spellEnd"/>
      <w:r>
        <w:rPr>
          <w:rFonts w:ascii="Times New Roman" w:hAnsi="Times New Roman"/>
        </w:rPr>
        <w:t xml:space="preserve"> au code du travail et M'ENGAGE, sans ré</w:t>
      </w:r>
      <w:r>
        <w:rPr>
          <w:rFonts w:ascii="Times New Roman" w:hAnsi="Times New Roman"/>
          <w:lang w:val="pt-PT"/>
        </w:rPr>
        <w:t xml:space="preserve">serve, </w:t>
      </w:r>
      <w:r>
        <w:rPr>
          <w:rFonts w:ascii="Times New Roman" w:hAnsi="Times New Roman"/>
        </w:rPr>
        <w:t>à exécuter les prestations dans les conditions déterminées ci-dessus.</w:t>
      </w: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Le présent accord-cadre comporte …… annexes relatives </w:t>
      </w:r>
      <w:proofErr w:type="spellStart"/>
      <w:r>
        <w:rPr>
          <w:rFonts w:ascii="Times New Roman" w:hAnsi="Times New Roman"/>
        </w:rPr>
        <w:t>à</w:t>
      </w:r>
      <w:proofErr w:type="spellEnd"/>
      <w:r>
        <w:rPr>
          <w:rFonts w:ascii="Times New Roman" w:hAnsi="Times New Roman"/>
        </w:rPr>
        <w:t xml:space="preserve"> :</w:t>
      </w:r>
    </w:p>
    <w:p w:rsidR="00931D27" w:rsidRDefault="001243EC">
      <w:pPr>
        <w:pStyle w:val="Puceducorpsdetexte"/>
        <w:keepNext/>
        <w:numPr>
          <w:ilvl w:val="0"/>
          <w:numId w:val="12"/>
        </w:numPr>
        <w:rPr>
          <w:rFonts w:ascii="Times New Roman" w:eastAsia="Times New Roman" w:hAnsi="Times New Roman" w:cs="Times New Roman"/>
        </w:rPr>
      </w:pPr>
      <w:r>
        <w:rPr>
          <w:rFonts w:ascii="Times New Roman" w:hAnsi="Times New Roman"/>
        </w:rPr>
        <w:t>prix journaliers de référence</w:t>
      </w:r>
    </w:p>
    <w:p w:rsidR="00931D27" w:rsidRDefault="001243EC">
      <w:pPr>
        <w:pStyle w:val="Puceducorpsdetexte"/>
        <w:keepNext/>
        <w:numPr>
          <w:ilvl w:val="0"/>
          <w:numId w:val="12"/>
        </w:numPr>
        <w:rPr>
          <w:rFonts w:ascii="Times New Roman" w:eastAsia="Times New Roman" w:hAnsi="Times New Roman" w:cs="Times New Roman"/>
        </w:rPr>
      </w:pPr>
      <w:r>
        <w:rPr>
          <w:rFonts w:ascii="Times New Roman" w:hAnsi="Times New Roman"/>
        </w:rPr>
        <w:t>....</w:t>
      </w:r>
    </w:p>
    <w:p w:rsidR="00931D27" w:rsidRDefault="00931D27">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Fait en un seul original,</w:t>
      </w:r>
    </w:p>
    <w:p w:rsidR="00931D27" w:rsidRDefault="00931D27">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À </w:t>
      </w:r>
      <w:r>
        <w:rPr>
          <w:rFonts w:ascii="Times New Roman" w:hAnsi="Times New Roman"/>
          <w:lang w:val="it-IT"/>
        </w:rPr>
        <w:t>.................................., le.....................................</w:t>
      </w:r>
    </w:p>
    <w:p w:rsidR="00931D27" w:rsidRDefault="00931D27">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Signature de l'entreprise</w:t>
      </w:r>
    </w:p>
    <w:p w:rsidR="00931D27" w:rsidRDefault="00931D27">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Nom et qualité du signataire : .........................................</w:t>
      </w:r>
    </w:p>
    <w:p w:rsidR="00931D27" w:rsidRDefault="00931D27">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Times New Roman" w:eastAsia="Times New Roman" w:hAnsi="Times New Roman" w:cs="Times New Roman"/>
        </w:rPr>
      </w:pPr>
      <w:r>
        <w:rPr>
          <w:rFonts w:ascii="Times New Roman" w:hAnsi="Times New Roman"/>
        </w:rPr>
        <w:t>Cachet de l'entreprise</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ATTENTION : Si le présent accord-cadre n’est pas signé par le représentant lé</w:t>
      </w:r>
      <w:r>
        <w:rPr>
          <w:rFonts w:ascii="Times New Roman" w:hAnsi="Times New Roman"/>
          <w:lang w:val="pt-PT"/>
        </w:rPr>
        <w:t>gal du</w:t>
      </w:r>
      <w:r>
        <w:rPr>
          <w:rFonts w:ascii="Times New Roman" w:hAnsi="Times New Roman"/>
        </w:rPr>
        <w:t xml:space="preserve"> prestataire, le signataire doit obligatoirement produire, avec l’accord-cadre, un pouvoir daté </w:t>
      </w:r>
      <w:r>
        <w:rPr>
          <w:rFonts w:ascii="Times New Roman" w:hAnsi="Times New Roman"/>
          <w:lang w:val="da-DK"/>
        </w:rPr>
        <w:t>et sign</w:t>
      </w:r>
      <w:r>
        <w:rPr>
          <w:rFonts w:ascii="Times New Roman" w:hAnsi="Times New Roman"/>
        </w:rPr>
        <w:t>é en original par le représentant lé</w:t>
      </w:r>
      <w:r>
        <w:rPr>
          <w:rFonts w:ascii="Times New Roman" w:hAnsi="Times New Roman"/>
          <w:lang w:val="pt-PT"/>
        </w:rPr>
        <w:t>gal l</w:t>
      </w:r>
      <w:r>
        <w:rPr>
          <w:rFonts w:ascii="Times New Roman" w:hAnsi="Times New Roman"/>
        </w:rPr>
        <w:t>’autorisant à signer tous les documents relatifs à l’</w:t>
      </w:r>
      <w:r>
        <w:rPr>
          <w:rFonts w:ascii="Times New Roman" w:hAnsi="Times New Roman"/>
          <w:lang w:val="it-IT"/>
        </w:rPr>
        <w:t>offre.</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931D27" w:rsidRDefault="001243EC">
      <w:pPr>
        <w:pStyle w:val="Sous-section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rPr>
          <w:rFonts w:ascii="Times New Roman" w:eastAsia="Times New Roman" w:hAnsi="Times New Roman" w:cs="Times New Roman"/>
        </w:rPr>
      </w:pPr>
      <w:r>
        <w:rPr>
          <w:rFonts w:ascii="Times New Roman" w:hAnsi="Times New Roman"/>
        </w:rPr>
        <w:t>Signature du pouvoir adjudicateur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Est accepté le présent accord-cadre valant acte d’engagement et CCAP</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200" w:after="200"/>
        <w:rPr>
          <w:rFonts w:ascii="Times New Roman" w:eastAsia="Times New Roman" w:hAnsi="Times New Roman" w:cs="Times New Roman"/>
        </w:rPr>
      </w:pPr>
      <w:r>
        <w:rPr>
          <w:rFonts w:ascii="Times New Roman" w:hAnsi="Times New Roman"/>
        </w:rPr>
        <w:t xml:space="preserve">A....................................................................... </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200" w:after="200"/>
        <w:rPr>
          <w:rFonts w:ascii="Times New Roman" w:eastAsia="Times New Roman" w:hAnsi="Times New Roman" w:cs="Times New Roman"/>
          <w:lang w:val="it-IT"/>
        </w:rPr>
      </w:pPr>
      <w:r>
        <w:rPr>
          <w:rFonts w:ascii="Times New Roman" w:hAnsi="Times New Roman"/>
          <w:lang w:val="it-IT"/>
        </w:rPr>
        <w:t>le.......................................................................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200" w:after="200"/>
        <w:rPr>
          <w:rFonts w:ascii="Times New Roman" w:eastAsia="Times New Roman" w:hAnsi="Times New Roman" w:cs="Times New Roman"/>
        </w:rPr>
      </w:pPr>
      <w:r>
        <w:rPr>
          <w:rFonts w:ascii="Times New Roman" w:hAnsi="Times New Roman"/>
        </w:rPr>
        <w:t>Pour le pouvoir adjudicateur,</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200" w:after="200"/>
        <w:rPr>
          <w:rFonts w:ascii="Times New Roman" w:eastAsia="Times New Roman" w:hAnsi="Times New Roman" w:cs="Times New Roman"/>
        </w:rPr>
      </w:pPr>
      <w:r>
        <w:rPr>
          <w:rFonts w:ascii="Times New Roman" w:hAnsi="Times New Roman"/>
        </w:rPr>
        <w:t>Représenté par : ....................................................</w:t>
      </w:r>
    </w:p>
    <w:p w:rsidR="00931D27" w:rsidRDefault="00931D27">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ectPr w:rsidR="00931D27">
          <w:headerReference w:type="even" r:id="rId12"/>
          <w:headerReference w:type="default" r:id="rId13"/>
          <w:footerReference w:type="even" r:id="rId14"/>
          <w:footerReference w:type="default" r:id="rId15"/>
          <w:pgSz w:w="11900" w:h="16840"/>
          <w:pgMar w:top="1247" w:right="1134" w:bottom="1247" w:left="1701" w:header="709" w:footer="709" w:gutter="0"/>
          <w:pgNumType w:start="1"/>
          <w:cols w:space="720"/>
        </w:sectPr>
      </w:pPr>
    </w:p>
    <w:p w:rsidR="00931D27" w:rsidRDefault="001243EC">
      <w:pPr>
        <w:pStyle w:val="TitreAnnex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lastRenderedPageBreak/>
        <w:t>Annexe 1 : tableau des prix journaliers et forfaitaires de référence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rPr>
          <w:rFonts w:ascii="Times New Roman" w:eastAsia="Times New Roman" w:hAnsi="Times New Roman" w:cs="Times New Roman"/>
        </w:rPr>
      </w:pPr>
      <w:r>
        <w:rPr>
          <w:rFonts w:ascii="Times New Roman" w:hAnsi="Times New Roman"/>
        </w:rPr>
        <w:t xml:space="preserve">NB : Le tableau comprend autant de </w:t>
      </w:r>
      <w:proofErr w:type="spellStart"/>
      <w:r>
        <w:rPr>
          <w:rFonts w:ascii="Times New Roman" w:hAnsi="Times New Roman"/>
        </w:rPr>
        <w:t>co-traitants</w:t>
      </w:r>
      <w:proofErr w:type="spellEnd"/>
      <w:r>
        <w:rPr>
          <w:rFonts w:ascii="Times New Roman" w:hAnsi="Times New Roman"/>
        </w:rPr>
        <w:t xml:space="preserve"> que nécessaire.</w:t>
      </w:r>
    </w:p>
    <w:p w:rsidR="00931D27" w:rsidRDefault="001243EC">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0"/>
        <w:rPr>
          <w:rFonts w:ascii="Times New Roman" w:eastAsia="Times New Roman" w:hAnsi="Times New Roman" w:cs="Times New Roman"/>
        </w:rPr>
      </w:pPr>
      <w:r>
        <w:rPr>
          <w:rFonts w:ascii="Times New Roman" w:hAnsi="Times New Roman"/>
        </w:rPr>
        <w:t>En cas de candidature individuelle, le présent cadre est à adapter en conséquence.</w:t>
      </w:r>
    </w:p>
    <w:tbl>
      <w:tblPr>
        <w:tblStyle w:val="TableNormal"/>
        <w:tblW w:w="904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391"/>
        <w:gridCol w:w="1413"/>
        <w:gridCol w:w="1413"/>
        <w:gridCol w:w="1414"/>
        <w:gridCol w:w="1414"/>
      </w:tblGrid>
      <w:tr w:rsidR="00931D27">
        <w:trPr>
          <w:trHeight w:val="304"/>
          <w:tblHeader/>
        </w:trPr>
        <w:tc>
          <w:tcPr>
            <w:tcW w:w="33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Éléments de mission</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s>
              <w:jc w:val="center"/>
            </w:pPr>
            <w:proofErr w:type="spellStart"/>
            <w:r>
              <w:rPr>
                <w:rFonts w:ascii="Trebuchet MS" w:hAnsi="Trebuchet MS"/>
                <w:sz w:val="18"/>
                <w:szCs w:val="18"/>
              </w:rPr>
              <w:t>Co-traitant</w:t>
            </w:r>
            <w:proofErr w:type="spellEnd"/>
            <w:r>
              <w:rPr>
                <w:rFonts w:ascii="Trebuchet MS" w:hAnsi="Trebuchet MS"/>
                <w:sz w:val="18"/>
                <w:szCs w:val="18"/>
              </w:rPr>
              <w:t xml:space="preserve"> 1</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s>
              <w:jc w:val="center"/>
            </w:pPr>
            <w:proofErr w:type="spellStart"/>
            <w:r>
              <w:rPr>
                <w:rFonts w:ascii="Trebuchet MS" w:hAnsi="Trebuchet MS"/>
                <w:sz w:val="18"/>
                <w:szCs w:val="18"/>
              </w:rPr>
              <w:t>Co-traitant</w:t>
            </w:r>
            <w:proofErr w:type="spellEnd"/>
            <w:r>
              <w:rPr>
                <w:rFonts w:ascii="Trebuchet MS" w:hAnsi="Trebuchet MS"/>
                <w:sz w:val="18"/>
                <w:szCs w:val="18"/>
              </w:rPr>
              <w:t xml:space="preserve"> 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s>
              <w:jc w:val="center"/>
            </w:pPr>
            <w:r>
              <w:rPr>
                <w:rFonts w:ascii="Trebuchet MS" w:hAnsi="Trebuchet MS"/>
                <w:sz w:val="18"/>
                <w:szCs w:val="18"/>
              </w:rPr>
              <w: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s>
              <w:jc w:val="center"/>
            </w:pPr>
            <w:r>
              <w:rPr>
                <w:rFonts w:ascii="Trebuchet MS" w:hAnsi="Trebuchet MS"/>
                <w:sz w:val="18"/>
                <w:szCs w:val="18"/>
              </w:rPr>
              <w:t>…</w:t>
            </w:r>
          </w:p>
        </w:tc>
      </w:tr>
      <w:tr w:rsidR="00931D27">
        <w:trPr>
          <w:trHeight w:val="310"/>
          <w:tblHeader/>
        </w:trPr>
        <w:tc>
          <w:tcPr>
            <w:tcW w:w="3391" w:type="dxa"/>
            <w:vMerge/>
            <w:tcBorders>
              <w:top w:val="single" w:sz="8" w:space="0" w:color="000000"/>
              <w:left w:val="single" w:sz="8" w:space="0" w:color="000000"/>
              <w:bottom w:val="single" w:sz="8" w:space="0" w:color="000000"/>
              <w:right w:val="single" w:sz="8" w:space="0" w:color="000000"/>
            </w:tcBorders>
            <w:shd w:val="clear" w:color="auto" w:fill="auto"/>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7631" w:type="dxa"/>
            <w:gridSpan w:val="4"/>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931D27" w:rsidRDefault="00931D27"/>
        </w:tc>
      </w:tr>
      <w:tr w:rsidR="00931D27" w:rsidRPr="00305DDD">
        <w:tblPrEx>
          <w:shd w:val="clear" w:color="auto" w:fill="CEDDEB"/>
        </w:tblPrEx>
        <w:trPr>
          <w:trHeight w:val="325"/>
        </w:trPr>
        <w:tc>
          <w:tcPr>
            <w:tcW w:w="9045" w:type="dxa"/>
            <w:gridSpan w:val="5"/>
            <w:tcBorders>
              <w:top w:val="single" w:sz="8" w:space="0" w:color="000000"/>
              <w:left w:val="single" w:sz="8" w:space="0" w:color="000000"/>
              <w:bottom w:val="single" w:sz="8" w:space="0" w:color="000000"/>
              <w:right w:val="nil"/>
            </w:tcBorders>
            <w:shd w:val="clear" w:color="auto" w:fill="A8D4D5"/>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 xml:space="preserve">Marchés subséquents « Mettre en œuvre » / Prix de journée </w:t>
            </w:r>
          </w:p>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Pré-Opérationnelle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260"/>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9D3AC"/>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Mission Témoin</w:t>
            </w:r>
          </w:p>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Avant-projet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Projet</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rsidRPr="00305DDD">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Assistance aux contrats de travaux</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Visa/Exe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rsidRPr="00305DDD">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Direction de l'exécution des travaux</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r>
      <w:tr w:rsidR="00931D27" w:rsidRPr="00305DDD">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Assistance aux opérations de réception</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r>
      <w:tr w:rsidR="00931D27" w:rsidRPr="00305DDD">
        <w:tblPrEx>
          <w:shd w:val="clear" w:color="auto" w:fill="CEDDEB"/>
        </w:tblPrEx>
        <w:trPr>
          <w:trHeight w:val="304"/>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8D4D5"/>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 xml:space="preserve">Marchés subséquents « Accompagner » / Prix de journée </w:t>
            </w:r>
          </w:p>
        </w:tc>
      </w:tr>
      <w:tr w:rsidR="00931D27" w:rsidRPr="00305DDD">
        <w:tblPrEx>
          <w:shd w:val="clear" w:color="auto" w:fill="CEDDEB"/>
        </w:tblPrEx>
        <w:trPr>
          <w:trHeight w:val="48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hydro géomorphologie et courantologie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r>
      <w:tr w:rsidR="00931D27" w:rsidRPr="00305DDD">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 xml:space="preserve">Etat des lieux VRD et géotechnique </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Pr="00BA6659" w:rsidRDefault="00931D27">
            <w:pPr>
              <w:rPr>
                <w:lang w:val="fr-FR"/>
              </w:rPr>
            </w:pPr>
          </w:p>
        </w:tc>
      </w:tr>
      <w:tr w:rsidR="00931D27" w:rsidRPr="00305DDD">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Animation de la démarche de projet</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Pr="00BA6659" w:rsidRDefault="00931D27">
            <w:pPr>
              <w:rPr>
                <w:lang w:val="fr-FR"/>
              </w:rPr>
            </w:pPr>
          </w:p>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Plan Guide Paysage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Loi sur l’eau</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d’Impact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des mobilités</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faune flore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Accompagnement Enquête Publique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tblPrEx>
          <w:shd w:val="clear" w:color="auto" w:fill="CEDDEB"/>
        </w:tblPrEx>
        <w:trPr>
          <w:trHeight w:val="48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Dossier des Autorisations Administratives</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Etude Ouvrage d’Art</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rsidRPr="00305DDD">
        <w:tblPrEx>
          <w:shd w:val="clear" w:color="auto" w:fill="CEDDEB"/>
        </w:tblPrEx>
        <w:trPr>
          <w:trHeight w:val="304"/>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8D4D5"/>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lastRenderedPageBreak/>
              <w:t xml:space="preserve">Bons de Commande « Accompagner » / Prix forfaitaires </w:t>
            </w:r>
          </w:p>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Réunion de concertation</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Appui technique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31D27" w:rsidRDefault="00931D27"/>
        </w:tc>
      </w:tr>
      <w:tr w:rsidR="00931D27">
        <w:tblPrEx>
          <w:shd w:val="clear" w:color="auto" w:fill="CEDDEB"/>
        </w:tblPrEx>
        <w:trPr>
          <w:trHeight w:val="310"/>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1243EC">
            <w:pPr>
              <w:pStyle w:val="Formatlibre"/>
              <w:tabs>
                <w:tab w:val="left" w:pos="709"/>
                <w:tab w:val="left" w:pos="1418"/>
                <w:tab w:val="left" w:pos="2127"/>
                <w:tab w:val="left" w:pos="2836"/>
              </w:tabs>
            </w:pPr>
            <w:r>
              <w:rPr>
                <w:rFonts w:ascii="Trebuchet MS" w:hAnsi="Trebuchet MS"/>
                <w:sz w:val="18"/>
                <w:szCs w:val="18"/>
              </w:rPr>
              <w:t>Pédagogie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c>
          <w:tcPr>
            <w:tcW w:w="14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931D27" w:rsidRDefault="00931D27"/>
        </w:tc>
      </w:tr>
    </w:tbl>
    <w:p w:rsidR="00931D27" w:rsidRDefault="00931D27">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2" w:hanging="2"/>
      </w:pPr>
    </w:p>
    <w:sectPr w:rsidR="00931D27">
      <w:headerReference w:type="even" r:id="rId16"/>
      <w:headerReference w:type="default" r:id="rId17"/>
      <w:footerReference w:type="even" r:id="rId18"/>
      <w:footerReference w:type="default" r:id="rId19"/>
      <w:headerReference w:type="first" r:id="rId20"/>
      <w:footerReference w:type="first" r:id="rId21"/>
      <w:type w:val="oddPage"/>
      <w:pgSz w:w="11900" w:h="16840"/>
      <w:pgMar w:top="1247" w:right="1134" w:bottom="124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E1" w:rsidRDefault="00BB4EE1">
      <w:r>
        <w:separator/>
      </w:r>
    </w:p>
  </w:endnote>
  <w:endnote w:type="continuationSeparator" w:id="0">
    <w:p w:rsidR="00BB4EE1" w:rsidRDefault="00BB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Notes-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1243EC">
    <w:pPr>
      <w:pStyle w:val="En-tteetbasdepage"/>
      <w:rPr>
        <w:rFonts w:hint="default"/>
      </w:rPr>
    </w:pPr>
    <w:r>
      <w:rPr>
        <w:color w:val="000000"/>
        <w:sz w:val="32"/>
        <w:szCs w:val="32"/>
        <w:u w:color="000000"/>
      </w:rPr>
      <w:fldChar w:fldCharType="begin"/>
    </w:r>
    <w:r>
      <w:rPr>
        <w:color w:val="000000"/>
        <w:sz w:val="32"/>
        <w:szCs w:val="32"/>
        <w:u w:color="000000"/>
      </w:rPr>
      <w:instrText xml:space="preserve"> PAGE </w:instrText>
    </w:r>
    <w:r>
      <w:rPr>
        <w:color w:val="000000"/>
        <w:sz w:val="32"/>
        <w:szCs w:val="32"/>
        <w:u w:color="000000"/>
      </w:rPr>
      <w:fldChar w:fldCharType="separate"/>
    </w:r>
    <w:r w:rsidR="00305DDD">
      <w:rPr>
        <w:rFonts w:hint="default"/>
        <w:noProof/>
        <w:color w:val="000000"/>
        <w:sz w:val="32"/>
        <w:szCs w:val="32"/>
        <w:u w:color="000000"/>
      </w:rPr>
      <w:t>6</w:t>
    </w:r>
    <w:r>
      <w:rPr>
        <w:color w:val="000000"/>
        <w:sz w:val="32"/>
        <w:szCs w:val="32"/>
        <w:u w:color="000000"/>
      </w:rPr>
      <w:fldChar w:fldCharType="end"/>
    </w:r>
    <w:r>
      <w:rPr>
        <w:rFonts w:ascii="Trebuchet MS" w:hAnsi="Trebuchet MS"/>
        <w:color w:val="000000"/>
        <w:sz w:val="32"/>
        <w:szCs w:val="32"/>
        <w:u w:color="000000"/>
        <w:vertAlign w:val="subscript"/>
      </w:rPr>
      <w:t>/</w:t>
    </w:r>
    <w:r>
      <w:rPr>
        <w:color w:val="000000"/>
        <w:sz w:val="32"/>
        <w:szCs w:val="32"/>
        <w:u w:color="000000"/>
        <w:vertAlign w:val="subscript"/>
      </w:rPr>
      <w:fldChar w:fldCharType="begin"/>
    </w:r>
    <w:r>
      <w:rPr>
        <w:color w:val="000000"/>
        <w:sz w:val="32"/>
        <w:szCs w:val="32"/>
        <w:u w:color="000000"/>
        <w:vertAlign w:val="subscript"/>
      </w:rPr>
      <w:instrText xml:space="preserve"> NUMPAGES </w:instrText>
    </w:r>
    <w:r>
      <w:rPr>
        <w:color w:val="000000"/>
        <w:sz w:val="32"/>
        <w:szCs w:val="32"/>
        <w:u w:color="000000"/>
        <w:vertAlign w:val="subscript"/>
      </w:rPr>
      <w:fldChar w:fldCharType="separate"/>
    </w:r>
    <w:r w:rsidR="00305DDD">
      <w:rPr>
        <w:rFonts w:hint="default"/>
        <w:noProof/>
        <w:color w:val="000000"/>
        <w:sz w:val="32"/>
        <w:szCs w:val="32"/>
        <w:u w:color="000000"/>
        <w:vertAlign w:val="subscript"/>
      </w:rPr>
      <w:t>12</w:t>
    </w:r>
    <w:r>
      <w:rPr>
        <w:color w:val="000000"/>
        <w:sz w:val="32"/>
        <w:szCs w:val="32"/>
        <w:u w:color="000000"/>
        <w:vertAlign w:val="subscript"/>
      </w:rPr>
      <w:fldChar w:fldCharType="end"/>
    </w:r>
    <w:r>
      <w:rPr>
        <w:rFonts w:eastAsia="Arial Unicode MS"/>
      </w:rPr>
      <w:t>｜</w:t>
    </w:r>
    <w:r>
      <w:rPr>
        <w:rFonts w:ascii="Trebuchet MS" w:hAnsi="Trebuchet MS"/>
      </w:rPr>
      <w:t>Titre</w:t>
    </w:r>
    <w:r>
      <w:rPr>
        <w:rFonts w:eastAsia="Arial Unicode MS"/>
      </w:rPr>
      <w:t>｜</w:t>
    </w:r>
    <w:r>
      <w:rPr>
        <w:rFonts w:ascii="Trebuchet MS" w:hAnsi="Trebuchet MS"/>
      </w:rPr>
      <w:t>janvier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1243EC">
    <w:pPr>
      <w:pStyle w:val="En-tteetbasdepage"/>
      <w:jc w:val="right"/>
      <w:rPr>
        <w:rFonts w:hint="default"/>
      </w:rPr>
    </w:pPr>
    <w:r>
      <w:rPr>
        <w:rFonts w:eastAsia="Arial Unicode MS"/>
      </w:rPr>
      <w:t>｜</w:t>
    </w:r>
    <w:r>
      <w:rPr>
        <w:rFonts w:ascii="Trebuchet MS" w:hAnsi="Trebuchet MS"/>
      </w:rPr>
      <w:t>...</w:t>
    </w:r>
    <w:r>
      <w:rPr>
        <w:rFonts w:eastAsia="Arial Unicode MS"/>
      </w:rPr>
      <w:t>｜</w:t>
    </w:r>
    <w:r>
      <w:rPr>
        <w:color w:val="000000"/>
        <w:sz w:val="32"/>
        <w:szCs w:val="32"/>
        <w:u w:color="000000"/>
      </w:rPr>
      <w:fldChar w:fldCharType="begin"/>
    </w:r>
    <w:r>
      <w:rPr>
        <w:color w:val="000000"/>
        <w:sz w:val="32"/>
        <w:szCs w:val="32"/>
        <w:u w:color="000000"/>
      </w:rPr>
      <w:instrText xml:space="preserve"> PAGE </w:instrText>
    </w:r>
    <w:r>
      <w:rPr>
        <w:color w:val="000000"/>
        <w:sz w:val="32"/>
        <w:szCs w:val="32"/>
        <w:u w:color="000000"/>
      </w:rPr>
      <w:fldChar w:fldCharType="separate"/>
    </w:r>
    <w:r w:rsidR="00305DDD">
      <w:rPr>
        <w:rFonts w:hint="default"/>
        <w:noProof/>
        <w:color w:val="000000"/>
        <w:sz w:val="32"/>
        <w:szCs w:val="32"/>
        <w:u w:color="000000"/>
      </w:rPr>
      <w:t>7</w:t>
    </w:r>
    <w:r>
      <w:rPr>
        <w:color w:val="000000"/>
        <w:sz w:val="32"/>
        <w:szCs w:val="32"/>
        <w:u w:color="000000"/>
      </w:rPr>
      <w:fldChar w:fldCharType="end"/>
    </w:r>
    <w:r>
      <w:rPr>
        <w:rFonts w:ascii="Trebuchet MS" w:hAnsi="Trebuchet MS"/>
        <w:color w:val="000000"/>
        <w:sz w:val="32"/>
        <w:szCs w:val="32"/>
        <w:u w:color="000000"/>
        <w:vertAlign w:val="subscript"/>
      </w:rPr>
      <w:t>/</w:t>
    </w:r>
    <w:r>
      <w:rPr>
        <w:color w:val="000000"/>
        <w:sz w:val="32"/>
        <w:szCs w:val="32"/>
        <w:u w:color="000000"/>
        <w:vertAlign w:val="subscript"/>
      </w:rPr>
      <w:fldChar w:fldCharType="begin"/>
    </w:r>
    <w:r>
      <w:rPr>
        <w:color w:val="000000"/>
        <w:sz w:val="32"/>
        <w:szCs w:val="32"/>
        <w:u w:color="000000"/>
        <w:vertAlign w:val="subscript"/>
      </w:rPr>
      <w:instrText xml:space="preserve"> NUMPAGES </w:instrText>
    </w:r>
    <w:r>
      <w:rPr>
        <w:color w:val="000000"/>
        <w:sz w:val="32"/>
        <w:szCs w:val="32"/>
        <w:u w:color="000000"/>
        <w:vertAlign w:val="subscript"/>
      </w:rPr>
      <w:fldChar w:fldCharType="separate"/>
    </w:r>
    <w:r w:rsidR="00305DDD">
      <w:rPr>
        <w:rFonts w:hint="default"/>
        <w:noProof/>
        <w:color w:val="000000"/>
        <w:sz w:val="32"/>
        <w:szCs w:val="32"/>
        <w:u w:color="000000"/>
        <w:vertAlign w:val="subscript"/>
      </w:rPr>
      <w:t>12</w:t>
    </w:r>
    <w:r>
      <w:rPr>
        <w:color w:val="000000"/>
        <w:sz w:val="32"/>
        <w:szCs w:val="32"/>
        <w:u w:color="000000"/>
        <w:vertAlign w:val="subscri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1243EC">
    <w:pPr>
      <w:pStyle w:val="En-tteetbasdepage"/>
      <w:rPr>
        <w:rFonts w:hint="default"/>
      </w:rPr>
    </w:pPr>
    <w:r>
      <w:rPr>
        <w:rFonts w:ascii="Corbel" w:eastAsia="Corbel" w:hAnsi="Corbel" w:cs="Corbel"/>
        <w:color w:val="000000"/>
        <w:sz w:val="32"/>
        <w:szCs w:val="32"/>
        <w:u w:color="000000"/>
      </w:rPr>
      <w:fldChar w:fldCharType="begin"/>
    </w:r>
    <w:r>
      <w:rPr>
        <w:rFonts w:ascii="Corbel" w:eastAsia="Corbel" w:hAnsi="Corbel" w:cs="Corbel"/>
        <w:color w:val="000000"/>
        <w:sz w:val="32"/>
        <w:szCs w:val="32"/>
        <w:u w:color="000000"/>
      </w:rPr>
      <w:instrText xml:space="preserve"> PAGE </w:instrText>
    </w:r>
    <w:r>
      <w:rPr>
        <w:rFonts w:ascii="Corbel" w:eastAsia="Corbel" w:hAnsi="Corbel" w:cs="Corbel"/>
        <w:color w:val="000000"/>
        <w:sz w:val="32"/>
        <w:szCs w:val="32"/>
        <w:u w:color="000000"/>
      </w:rPr>
      <w:fldChar w:fldCharType="separate"/>
    </w:r>
    <w:r w:rsidR="00305DDD">
      <w:rPr>
        <w:rFonts w:ascii="Corbel" w:eastAsia="Corbel" w:hAnsi="Corbel" w:cs="Corbel" w:hint="default"/>
        <w:noProof/>
        <w:color w:val="000000"/>
        <w:sz w:val="32"/>
        <w:szCs w:val="32"/>
        <w:u w:color="000000"/>
      </w:rPr>
      <w:t>2</w:t>
    </w:r>
    <w:r>
      <w:rPr>
        <w:rFonts w:ascii="Corbel" w:eastAsia="Corbel" w:hAnsi="Corbel" w:cs="Corbel"/>
        <w:color w:val="000000"/>
        <w:sz w:val="32"/>
        <w:szCs w:val="32"/>
        <w:u w:color="000000"/>
      </w:rPr>
      <w:fldChar w:fldCharType="end"/>
    </w:r>
    <w:r>
      <w:rPr>
        <w:rFonts w:ascii="Corbel" w:eastAsia="Corbel" w:hAnsi="Corbel" w:cs="Corbel"/>
        <w:color w:val="000000"/>
        <w:sz w:val="32"/>
        <w:szCs w:val="32"/>
        <w:u w:color="000000"/>
        <w:vertAlign w:val="subscript"/>
      </w:rPr>
      <w:t>/</w:t>
    </w:r>
    <w:r>
      <w:rPr>
        <w:rFonts w:ascii="Corbel" w:eastAsia="Corbel" w:hAnsi="Corbel" w:cs="Corbel"/>
        <w:color w:val="000000"/>
        <w:sz w:val="32"/>
        <w:szCs w:val="32"/>
        <w:u w:color="000000"/>
        <w:vertAlign w:val="subscript"/>
      </w:rPr>
      <w:fldChar w:fldCharType="begin"/>
    </w:r>
    <w:r>
      <w:rPr>
        <w:rFonts w:ascii="Corbel" w:eastAsia="Corbel" w:hAnsi="Corbel" w:cs="Corbel"/>
        <w:color w:val="000000"/>
        <w:sz w:val="32"/>
        <w:szCs w:val="32"/>
        <w:u w:color="000000"/>
        <w:vertAlign w:val="subscript"/>
      </w:rPr>
      <w:instrText xml:space="preserve"> NUMPAGES </w:instrText>
    </w:r>
    <w:r>
      <w:rPr>
        <w:rFonts w:ascii="Corbel" w:eastAsia="Corbel" w:hAnsi="Corbel" w:cs="Corbel"/>
        <w:color w:val="000000"/>
        <w:sz w:val="32"/>
        <w:szCs w:val="32"/>
        <w:u w:color="000000"/>
        <w:vertAlign w:val="subscript"/>
      </w:rPr>
      <w:fldChar w:fldCharType="separate"/>
    </w:r>
    <w:r w:rsidR="00305DDD">
      <w:rPr>
        <w:rFonts w:ascii="Corbel" w:eastAsia="Corbel" w:hAnsi="Corbel" w:cs="Corbel" w:hint="default"/>
        <w:noProof/>
        <w:color w:val="000000"/>
        <w:sz w:val="32"/>
        <w:szCs w:val="32"/>
        <w:u w:color="000000"/>
        <w:vertAlign w:val="subscript"/>
      </w:rPr>
      <w:t>12</w:t>
    </w:r>
    <w:r>
      <w:rPr>
        <w:rFonts w:ascii="Corbel" w:eastAsia="Corbel" w:hAnsi="Corbel" w:cs="Corbel"/>
        <w:color w:val="000000"/>
        <w:sz w:val="32"/>
        <w:szCs w:val="32"/>
        <w:u w:color="000000"/>
        <w:vertAlign w:val="subscript"/>
      </w:rPr>
      <w:fldChar w:fldCharType="end"/>
    </w:r>
    <w:r>
      <w:rPr>
        <w:rFonts w:ascii="Corbel" w:eastAsia="Corbel" w:hAnsi="Corbel" w:cs="Corbel"/>
      </w:rPr>
      <w:t>｜</w:t>
    </w:r>
    <w:r>
      <w:rPr>
        <w:rFonts w:ascii="Trebuchet MS" w:hAnsi="Trebuchet MS"/>
      </w:rPr>
      <w:t xml:space="preserve"> </w:t>
    </w:r>
    <w:r>
      <w:rPr>
        <w:rFonts w:ascii="Corbel" w:eastAsia="Corbel" w:hAnsi="Corbel" w:cs="Corbel"/>
      </w:rPr>
      <w:t xml:space="preserve">Création d’une promenade cyclable entre l’Avenue du </w:t>
    </w:r>
    <w:proofErr w:type="spellStart"/>
    <w:r>
      <w:rPr>
        <w:rFonts w:ascii="Corbel" w:eastAsia="Corbel" w:hAnsi="Corbel" w:cs="Corbel"/>
      </w:rPr>
      <w:t>Passous</w:t>
    </w:r>
    <w:proofErr w:type="spellEnd"/>
    <w:r>
      <w:rPr>
        <w:rFonts w:ascii="Corbel" w:eastAsia="Corbel" w:hAnsi="Corbel" w:cs="Corbel"/>
      </w:rPr>
      <w:t xml:space="preserve"> et la ferme </w:t>
    </w:r>
    <w:proofErr w:type="spellStart"/>
    <w:r>
      <w:rPr>
        <w:rFonts w:ascii="Corbel" w:eastAsia="Corbel" w:hAnsi="Corbel" w:cs="Corbel"/>
      </w:rPr>
      <w:t>Bordes｜décembre</w:t>
    </w:r>
    <w:proofErr w:type="spellEnd"/>
    <w:r>
      <w:rPr>
        <w:rFonts w:ascii="Corbel" w:eastAsia="Corbel" w:hAnsi="Corbel" w:cs="Corbel"/>
      </w:rPr>
      <w:t xml:space="preserve">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1243EC">
    <w:pPr>
      <w:pStyle w:val="En-tteetbasdepage"/>
      <w:jc w:val="right"/>
      <w:rPr>
        <w:rFonts w:hint="default"/>
      </w:rPr>
    </w:pPr>
    <w:r>
      <w:rPr>
        <w:rFonts w:eastAsia="Arial Unicode MS"/>
        <w:sz w:val="16"/>
        <w:szCs w:val="16"/>
      </w:rPr>
      <w:t>｜</w:t>
    </w:r>
    <w:r>
      <w:rPr>
        <w:rFonts w:ascii="Trebuchet MS" w:hAnsi="Trebuchet MS"/>
        <w:sz w:val="16"/>
        <w:szCs w:val="16"/>
      </w:rPr>
      <w:t>...</w:t>
    </w:r>
    <w:r>
      <w:rPr>
        <w:rFonts w:eastAsia="Arial Unicode MS"/>
        <w:sz w:val="16"/>
        <w:szCs w:val="16"/>
      </w:rPr>
      <w:t>｜</w:t>
    </w:r>
    <w:r>
      <w:rPr>
        <w:color w:val="000000"/>
        <w:sz w:val="28"/>
        <w:szCs w:val="28"/>
        <w:u w:color="000000"/>
      </w:rPr>
      <w:fldChar w:fldCharType="begin"/>
    </w:r>
    <w:r>
      <w:rPr>
        <w:color w:val="000000"/>
        <w:sz w:val="28"/>
        <w:szCs w:val="28"/>
        <w:u w:color="000000"/>
      </w:rPr>
      <w:instrText xml:space="preserve"> PAGE </w:instrText>
    </w:r>
    <w:r>
      <w:rPr>
        <w:color w:val="000000"/>
        <w:sz w:val="28"/>
        <w:szCs w:val="28"/>
        <w:u w:color="000000"/>
      </w:rPr>
      <w:fldChar w:fldCharType="separate"/>
    </w:r>
    <w:r w:rsidR="00305DDD">
      <w:rPr>
        <w:rFonts w:hint="default"/>
        <w:noProof/>
        <w:color w:val="000000"/>
        <w:sz w:val="28"/>
        <w:szCs w:val="28"/>
        <w:u w:color="000000"/>
      </w:rPr>
      <w:t>1</w:t>
    </w:r>
    <w:r>
      <w:rPr>
        <w:color w:val="000000"/>
        <w:sz w:val="28"/>
        <w:szCs w:val="28"/>
        <w:u w:color="000000"/>
      </w:rPr>
      <w:fldChar w:fldCharType="end"/>
    </w:r>
    <w:r>
      <w:rPr>
        <w:rFonts w:ascii="Trebuchet MS" w:hAnsi="Trebuchet MS"/>
        <w:color w:val="000000"/>
        <w:sz w:val="28"/>
        <w:szCs w:val="28"/>
        <w:u w:color="000000"/>
        <w:vertAlign w:val="subscript"/>
      </w:rPr>
      <w:t>/</w:t>
    </w:r>
    <w:r>
      <w:rPr>
        <w:color w:val="000000"/>
        <w:sz w:val="28"/>
        <w:szCs w:val="28"/>
        <w:u w:color="000000"/>
        <w:vertAlign w:val="subscript"/>
      </w:rPr>
      <w:fldChar w:fldCharType="begin"/>
    </w:r>
    <w:r>
      <w:rPr>
        <w:color w:val="000000"/>
        <w:sz w:val="28"/>
        <w:szCs w:val="28"/>
        <w:u w:color="000000"/>
        <w:vertAlign w:val="subscript"/>
      </w:rPr>
      <w:instrText xml:space="preserve"> NUMPAGES </w:instrText>
    </w:r>
    <w:r>
      <w:rPr>
        <w:color w:val="000000"/>
        <w:sz w:val="28"/>
        <w:szCs w:val="28"/>
        <w:u w:color="000000"/>
        <w:vertAlign w:val="subscript"/>
      </w:rPr>
      <w:fldChar w:fldCharType="separate"/>
    </w:r>
    <w:r w:rsidR="00305DDD">
      <w:rPr>
        <w:rFonts w:hint="default"/>
        <w:noProof/>
        <w:color w:val="000000"/>
        <w:sz w:val="28"/>
        <w:szCs w:val="28"/>
        <w:u w:color="000000"/>
        <w:vertAlign w:val="subscript"/>
      </w:rPr>
      <w:t>12</w:t>
    </w:r>
    <w:r>
      <w:rPr>
        <w:color w:val="000000"/>
        <w:sz w:val="28"/>
        <w:szCs w:val="28"/>
        <w:u w:color="000000"/>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E1" w:rsidRDefault="00BB4EE1">
      <w:r>
        <w:separator/>
      </w:r>
    </w:p>
  </w:footnote>
  <w:footnote w:type="continuationSeparator" w:id="0">
    <w:p w:rsidR="00BB4EE1" w:rsidRDefault="00BB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27" w:rsidRDefault="00931D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64DC"/>
    <w:multiLevelType w:val="hybridMultilevel"/>
    <w:tmpl w:val="41EC8E32"/>
    <w:styleLink w:val="Puce"/>
    <w:lvl w:ilvl="0" w:tplc="82D00AA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0F211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B8ED7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90CD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A2CFB3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27E0B2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EE81F7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F63F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DE8A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45F04BA"/>
    <w:multiLevelType w:val="hybridMultilevel"/>
    <w:tmpl w:val="41EC8E32"/>
    <w:numStyleLink w:val="Puce"/>
  </w:abstractNum>
  <w:abstractNum w:abstractNumId="2">
    <w:nsid w:val="290C7C27"/>
    <w:multiLevelType w:val="multilevel"/>
    <w:tmpl w:val="C5562EF0"/>
    <w:lvl w:ilvl="0">
      <w:start w:val="1"/>
      <w:numFmt w:val="decimal"/>
      <w:lvlText w:val="%1."/>
      <w:lvlJc w:val="left"/>
      <w:pPr>
        <w:ind w:left="511"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6644F0E"/>
    <w:multiLevelType w:val="hybridMultilevel"/>
    <w:tmpl w:val="1DCEAFB2"/>
    <w:styleLink w:val="Style2import"/>
    <w:lvl w:ilvl="0" w:tplc="C8B0BF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9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89CED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1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36821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3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F3490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5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2680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7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CA1C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9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085F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11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6C22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83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764CDB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558" w:hanging="1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9D344CB"/>
    <w:multiLevelType w:val="multilevel"/>
    <w:tmpl w:val="364C7364"/>
    <w:styleLink w:val="Lgal"/>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1"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73F137AC"/>
    <w:multiLevelType w:val="hybridMultilevel"/>
    <w:tmpl w:val="1DCEAFB2"/>
    <w:numStyleLink w:val="Style2import"/>
  </w:abstractNum>
  <w:abstractNum w:abstractNumId="6">
    <w:nsid w:val="79E64E8D"/>
    <w:multiLevelType w:val="multilevel"/>
    <w:tmpl w:val="364C7364"/>
    <w:numStyleLink w:val="Lgal"/>
  </w:abstractNum>
  <w:num w:numId="1">
    <w:abstractNumId w:val="2"/>
  </w:num>
  <w:num w:numId="2">
    <w:abstractNumId w:val="2"/>
    <w:lvlOverride w:ilvl="0">
      <w:startOverride w:val="3"/>
    </w:lvlOverride>
  </w:num>
  <w:num w:numId="3">
    <w:abstractNumId w:val="2"/>
    <w:lvlOverride w:ilvl="0">
      <w:startOverride w:val="4"/>
    </w:lvlOverride>
  </w:num>
  <w:num w:numId="4">
    <w:abstractNumId w:val="2"/>
    <w:lvlOverride w:ilvl="0">
      <w:startOverride w:val="5"/>
    </w:lvlOverride>
  </w:num>
  <w:num w:numId="5">
    <w:abstractNumId w:val="2"/>
    <w:lvlOverride w:ilvl="0">
      <w:startOverride w:val="12"/>
    </w:lvlOverride>
  </w:num>
  <w:num w:numId="6">
    <w:abstractNumId w:val="4"/>
  </w:num>
  <w:num w:numId="7">
    <w:abstractNumId w:val="6"/>
  </w:num>
  <w:num w:numId="8">
    <w:abstractNumId w:val="3"/>
  </w:num>
  <w:num w:numId="9">
    <w:abstractNumId w:val="5"/>
  </w:num>
  <w:num w:numId="10">
    <w:abstractNumId w:val="6"/>
    <w:lvlOverride w:ilvl="0">
      <w:startOverride w:val="3"/>
    </w:lvlOverride>
  </w:num>
  <w:num w:numId="11">
    <w:abstractNumId w:val="0"/>
  </w:num>
  <w:num w:numId="12">
    <w:abstractNumId w:val="1"/>
  </w:num>
  <w:num w:numId="13">
    <w:abstractNumId w:val="6"/>
    <w:lvlOverride w:ilvl="0">
      <w:startOverride w:val="4"/>
    </w:lvlOverride>
  </w:num>
  <w:num w:numId="14">
    <w:abstractNumId w:val="6"/>
    <w:lvlOverride w:ilvl="0">
      <w:startOverride w:val="5"/>
    </w:lvlOverride>
  </w:num>
  <w:num w:numId="15">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1D27"/>
    <w:rsid w:val="001243EC"/>
    <w:rsid w:val="001E26ED"/>
    <w:rsid w:val="00305DDD"/>
    <w:rsid w:val="00931D27"/>
    <w:rsid w:val="00BA6659"/>
    <w:rsid w:val="00BB4EE1"/>
    <w:rsid w:val="00C03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2">
    <w:name w:val="heading 2"/>
    <w:pPr>
      <w:shd w:val="clear" w:color="auto" w:fill="E0E0E0"/>
      <w:spacing w:before="200" w:after="200"/>
      <w:ind w:left="113" w:right="113"/>
      <w:jc w:val="center"/>
      <w:outlineLvl w:val="1"/>
    </w:pPr>
    <w:rPr>
      <w:rFonts w:cs="Arial Unicode MS"/>
      <w:color w:val="000000"/>
      <w:sz w:val="30"/>
      <w:szCs w:val="3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NomMOu">
    <w:name w:val="Nom MOu"/>
    <w:pPr>
      <w:jc w:val="center"/>
    </w:pPr>
    <w:rPr>
      <w:rFonts w:ascii="Helvetica" w:hAnsi="Helvetica" w:cs="Arial Unicode MS"/>
      <w:b/>
      <w:bCs/>
      <w:smallCaps/>
      <w:color w:val="000000"/>
      <w:sz w:val="36"/>
      <w:szCs w:val="36"/>
      <w:u w:color="000000"/>
    </w:rPr>
  </w:style>
  <w:style w:type="paragraph" w:customStyle="1" w:styleId="AdresseMOu">
    <w:name w:val="Adresse MOu"/>
    <w:pPr>
      <w:jc w:val="center"/>
    </w:pPr>
    <w:rPr>
      <w:rFonts w:ascii="Calibri" w:eastAsia="Calibri" w:hAnsi="Calibri" w:cs="Calibri"/>
      <w:color w:val="000000"/>
      <w:sz w:val="24"/>
      <w:szCs w:val="24"/>
      <w:u w:color="000000"/>
    </w:rPr>
  </w:style>
  <w:style w:type="paragraph" w:customStyle="1" w:styleId="Formatlibre">
    <w:name w:val="Format libre"/>
    <w:rPr>
      <w:rFonts w:ascii="Corbel" w:eastAsia="Corbel" w:hAnsi="Corbel" w:cs="Corbel"/>
      <w:color w:val="000000"/>
      <w:sz w:val="24"/>
      <w:szCs w:val="24"/>
      <w:u w:color="000000"/>
    </w:rPr>
  </w:style>
  <w:style w:type="paragraph" w:styleId="Titre">
    <w:name w:val="Title"/>
    <w:pPr>
      <w:jc w:val="center"/>
    </w:pPr>
    <w:rPr>
      <w:rFonts w:ascii="Helvetica" w:hAnsi="Helvetica" w:cs="Arial Unicode MS"/>
      <w:b/>
      <w:bCs/>
      <w:color w:val="AA2247"/>
      <w:sz w:val="40"/>
      <w:szCs w:val="40"/>
      <w:u w:color="AA2247"/>
    </w:rPr>
  </w:style>
  <w:style w:type="paragraph" w:customStyle="1" w:styleId="TitreSommaire">
    <w:name w:val="Titre Sommaire"/>
    <w:next w:val="CorpsA"/>
    <w:pPr>
      <w:keepNext/>
      <w:keepLines/>
      <w:suppressAutoHyphens/>
      <w:spacing w:before="360" w:after="360"/>
      <w:ind w:left="680"/>
    </w:pPr>
    <w:rPr>
      <w:rFonts w:eastAsia="Times New Roman"/>
      <w:smallCaps/>
      <w:color w:val="000000"/>
      <w:sz w:val="28"/>
      <w:szCs w:val="28"/>
      <w:u w:color="000000"/>
    </w:rPr>
  </w:style>
  <w:style w:type="paragraph" w:customStyle="1" w:styleId="CorpsA">
    <w:name w:val="Corps A"/>
    <w:pPr>
      <w:keepLines/>
      <w:spacing w:before="80" w:after="80" w:line="264" w:lineRule="auto"/>
      <w:ind w:left="680"/>
      <w:jc w:val="both"/>
    </w:pPr>
    <w:rPr>
      <w:rFonts w:ascii="Notes-Regular" w:eastAsia="Notes-Regular" w:hAnsi="Notes-Regular" w:cs="Notes-Regular"/>
      <w:color w:val="000000"/>
      <w:u w:color="000000"/>
    </w:rPr>
  </w:style>
  <w:style w:type="paragraph" w:styleId="TM1">
    <w:name w:val="toc 1"/>
    <w:pPr>
      <w:tabs>
        <w:tab w:val="right" w:leader="dot" w:pos="8504"/>
      </w:tabs>
      <w:spacing w:before="40" w:after="40"/>
    </w:pPr>
    <w:rPr>
      <w:rFonts w:ascii="Notes-Regular" w:eastAsia="Notes-Regular" w:hAnsi="Notes-Regular" w:cs="Notes-Regular"/>
      <w:color w:val="000000"/>
      <w:sz w:val="18"/>
      <w:szCs w:val="18"/>
      <w:u w:color="000000"/>
    </w:rPr>
  </w:style>
  <w:style w:type="paragraph" w:styleId="TM2">
    <w:name w:val="toc 2"/>
    <w:pPr>
      <w:tabs>
        <w:tab w:val="right" w:leader="dot" w:pos="8504"/>
      </w:tabs>
      <w:spacing w:before="180" w:after="120"/>
      <w:ind w:right="51"/>
    </w:pPr>
    <w:rPr>
      <w:rFonts w:eastAsia="Times New Roman"/>
      <w:color w:val="000000"/>
      <w:sz w:val="24"/>
      <w:szCs w:val="24"/>
      <w:u w:color="000000"/>
    </w:rPr>
  </w:style>
  <w:style w:type="paragraph" w:customStyle="1" w:styleId="Sous-section1">
    <w:name w:val="Sous-section 1"/>
    <w:next w:val="CorpsA"/>
    <w:pPr>
      <w:keepNext/>
      <w:keepLines/>
      <w:spacing w:before="520" w:after="320"/>
      <w:jc w:val="both"/>
      <w:outlineLvl w:val="1"/>
    </w:pPr>
    <w:rPr>
      <w:rFonts w:eastAsia="Times New Roman"/>
      <w:smallCaps/>
      <w:color w:val="000000"/>
      <w:sz w:val="32"/>
      <w:szCs w:val="32"/>
      <w:u w:color="000000"/>
    </w:rPr>
  </w:style>
  <w:style w:type="paragraph" w:styleId="TM3">
    <w:name w:val="toc 3"/>
    <w:pPr>
      <w:tabs>
        <w:tab w:val="right" w:leader="dot" w:pos="8504"/>
      </w:tabs>
      <w:spacing w:before="40" w:after="40"/>
      <w:ind w:right="51"/>
    </w:pPr>
    <w:rPr>
      <w:rFonts w:eastAsia="Times New Roman"/>
      <w:color w:val="000000"/>
      <w:sz w:val="24"/>
      <w:szCs w:val="24"/>
      <w:u w:color="000000"/>
    </w:rPr>
  </w:style>
  <w:style w:type="paragraph" w:customStyle="1" w:styleId="Sous-section2">
    <w:name w:val="Sous-section 2"/>
    <w:next w:val="CorpsA"/>
    <w:pPr>
      <w:keepNext/>
      <w:keepLines/>
      <w:spacing w:before="320" w:after="240"/>
      <w:jc w:val="both"/>
      <w:outlineLvl w:val="2"/>
    </w:pPr>
    <w:rPr>
      <w:rFonts w:eastAsia="Times New Roman"/>
      <w:color w:val="000000"/>
      <w:sz w:val="24"/>
      <w:szCs w:val="24"/>
      <w:u w:color="000000"/>
    </w:rPr>
  </w:style>
  <w:style w:type="paragraph" w:styleId="TM4">
    <w:name w:val="toc 4"/>
    <w:pPr>
      <w:tabs>
        <w:tab w:val="right" w:leader="dot" w:pos="8504"/>
      </w:tabs>
    </w:pPr>
    <w:rPr>
      <w:rFonts w:eastAsia="Times New Roman"/>
      <w:color w:val="000000"/>
    </w:rPr>
  </w:style>
  <w:style w:type="paragraph" w:customStyle="1" w:styleId="Sous-section3">
    <w:name w:val="Sous-section 3"/>
    <w:pPr>
      <w:keepNext/>
      <w:spacing w:before="160" w:after="160"/>
      <w:jc w:val="both"/>
      <w:outlineLvl w:val="3"/>
    </w:pPr>
    <w:rPr>
      <w:rFonts w:ascii="Helvetica" w:eastAsia="Helvetica" w:hAnsi="Helvetica" w:cs="Helvetica"/>
      <w:b/>
      <w:bCs/>
      <w:color w:val="000000"/>
      <w:sz w:val="24"/>
      <w:szCs w:val="24"/>
      <w:u w:color="000000"/>
    </w:rPr>
  </w:style>
  <w:style w:type="paragraph" w:customStyle="1" w:styleId="TitreAnnexe">
    <w:name w:val="Titre Annexe"/>
    <w:next w:val="CorpsA"/>
    <w:pPr>
      <w:keepNext/>
      <w:keepLines/>
      <w:pageBreakBefore/>
      <w:spacing w:before="240" w:after="600"/>
      <w:jc w:val="both"/>
      <w:outlineLvl w:val="0"/>
    </w:pPr>
    <w:rPr>
      <w:rFonts w:ascii="Helvetica" w:eastAsia="Helvetica" w:hAnsi="Helvetica" w:cs="Helvetica"/>
      <w:b/>
      <w:bCs/>
      <w:smallCaps/>
      <w:color w:val="000000"/>
      <w:sz w:val="36"/>
      <w:szCs w:val="36"/>
      <w:u w:color="000000"/>
    </w:rPr>
  </w:style>
  <w:style w:type="paragraph" w:customStyle="1" w:styleId="En-tteetbasdepage">
    <w:name w:val="En-tête et bas de page"/>
    <w:rPr>
      <w:rFonts w:ascii="Arial Unicode MS" w:eastAsia="Trebuchet MS" w:hAnsi="Arial Unicode MS" w:cs="Arial Unicode MS" w:hint="eastAsia"/>
      <w:color w:val="5F5F5F"/>
      <w:sz w:val="18"/>
      <w:szCs w:val="18"/>
      <w:u w:color="5F5F5F"/>
    </w:rPr>
  </w:style>
  <w:style w:type="numbering" w:customStyle="1" w:styleId="Lgal">
    <w:name w:val="Légal"/>
    <w:pPr>
      <w:numPr>
        <w:numId w:val="6"/>
      </w:numPr>
    </w:pPr>
  </w:style>
  <w:style w:type="numbering" w:customStyle="1" w:styleId="Style2import">
    <w:name w:val="Style 2 importé"/>
    <w:pPr>
      <w:numPr>
        <w:numId w:val="8"/>
      </w:numPr>
    </w:pPr>
  </w:style>
  <w:style w:type="paragraph" w:customStyle="1" w:styleId="Puceducorpsdetexte">
    <w:name w:val="Puce du corps de texte"/>
    <w:pPr>
      <w:keepLines/>
      <w:spacing w:before="80" w:after="80"/>
      <w:ind w:left="680"/>
      <w:jc w:val="both"/>
    </w:pPr>
    <w:rPr>
      <w:rFonts w:ascii="Notes-Regular" w:hAnsi="Notes-Regular" w:cs="Arial Unicode MS"/>
      <w:color w:val="000000"/>
      <w:u w:color="000000"/>
    </w:rPr>
  </w:style>
  <w:style w:type="numbering" w:customStyle="1" w:styleId="Puce">
    <w:name w:val="Puc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2">
    <w:name w:val="heading 2"/>
    <w:pPr>
      <w:shd w:val="clear" w:color="auto" w:fill="E0E0E0"/>
      <w:spacing w:before="200" w:after="200"/>
      <w:ind w:left="113" w:right="113"/>
      <w:jc w:val="center"/>
      <w:outlineLvl w:val="1"/>
    </w:pPr>
    <w:rPr>
      <w:rFonts w:cs="Arial Unicode MS"/>
      <w:color w:val="000000"/>
      <w:sz w:val="30"/>
      <w:szCs w:val="3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NomMOu">
    <w:name w:val="Nom MOu"/>
    <w:pPr>
      <w:jc w:val="center"/>
    </w:pPr>
    <w:rPr>
      <w:rFonts w:ascii="Helvetica" w:hAnsi="Helvetica" w:cs="Arial Unicode MS"/>
      <w:b/>
      <w:bCs/>
      <w:smallCaps/>
      <w:color w:val="000000"/>
      <w:sz w:val="36"/>
      <w:szCs w:val="36"/>
      <w:u w:color="000000"/>
    </w:rPr>
  </w:style>
  <w:style w:type="paragraph" w:customStyle="1" w:styleId="AdresseMOu">
    <w:name w:val="Adresse MOu"/>
    <w:pPr>
      <w:jc w:val="center"/>
    </w:pPr>
    <w:rPr>
      <w:rFonts w:ascii="Calibri" w:eastAsia="Calibri" w:hAnsi="Calibri" w:cs="Calibri"/>
      <w:color w:val="000000"/>
      <w:sz w:val="24"/>
      <w:szCs w:val="24"/>
      <w:u w:color="000000"/>
    </w:rPr>
  </w:style>
  <w:style w:type="paragraph" w:customStyle="1" w:styleId="Formatlibre">
    <w:name w:val="Format libre"/>
    <w:rPr>
      <w:rFonts w:ascii="Corbel" w:eastAsia="Corbel" w:hAnsi="Corbel" w:cs="Corbel"/>
      <w:color w:val="000000"/>
      <w:sz w:val="24"/>
      <w:szCs w:val="24"/>
      <w:u w:color="000000"/>
    </w:rPr>
  </w:style>
  <w:style w:type="paragraph" w:styleId="Titre">
    <w:name w:val="Title"/>
    <w:pPr>
      <w:jc w:val="center"/>
    </w:pPr>
    <w:rPr>
      <w:rFonts w:ascii="Helvetica" w:hAnsi="Helvetica" w:cs="Arial Unicode MS"/>
      <w:b/>
      <w:bCs/>
      <w:color w:val="AA2247"/>
      <w:sz w:val="40"/>
      <w:szCs w:val="40"/>
      <w:u w:color="AA2247"/>
    </w:rPr>
  </w:style>
  <w:style w:type="paragraph" w:customStyle="1" w:styleId="TitreSommaire">
    <w:name w:val="Titre Sommaire"/>
    <w:next w:val="CorpsA"/>
    <w:pPr>
      <w:keepNext/>
      <w:keepLines/>
      <w:suppressAutoHyphens/>
      <w:spacing w:before="360" w:after="360"/>
      <w:ind w:left="680"/>
    </w:pPr>
    <w:rPr>
      <w:rFonts w:eastAsia="Times New Roman"/>
      <w:smallCaps/>
      <w:color w:val="000000"/>
      <w:sz w:val="28"/>
      <w:szCs w:val="28"/>
      <w:u w:color="000000"/>
    </w:rPr>
  </w:style>
  <w:style w:type="paragraph" w:customStyle="1" w:styleId="CorpsA">
    <w:name w:val="Corps A"/>
    <w:pPr>
      <w:keepLines/>
      <w:spacing w:before="80" w:after="80" w:line="264" w:lineRule="auto"/>
      <w:ind w:left="680"/>
      <w:jc w:val="both"/>
    </w:pPr>
    <w:rPr>
      <w:rFonts w:ascii="Notes-Regular" w:eastAsia="Notes-Regular" w:hAnsi="Notes-Regular" w:cs="Notes-Regular"/>
      <w:color w:val="000000"/>
      <w:u w:color="000000"/>
    </w:rPr>
  </w:style>
  <w:style w:type="paragraph" w:styleId="TM1">
    <w:name w:val="toc 1"/>
    <w:pPr>
      <w:tabs>
        <w:tab w:val="right" w:leader="dot" w:pos="8504"/>
      </w:tabs>
      <w:spacing w:before="40" w:after="40"/>
    </w:pPr>
    <w:rPr>
      <w:rFonts w:ascii="Notes-Regular" w:eastAsia="Notes-Regular" w:hAnsi="Notes-Regular" w:cs="Notes-Regular"/>
      <w:color w:val="000000"/>
      <w:sz w:val="18"/>
      <w:szCs w:val="18"/>
      <w:u w:color="000000"/>
    </w:rPr>
  </w:style>
  <w:style w:type="paragraph" w:styleId="TM2">
    <w:name w:val="toc 2"/>
    <w:pPr>
      <w:tabs>
        <w:tab w:val="right" w:leader="dot" w:pos="8504"/>
      </w:tabs>
      <w:spacing w:before="180" w:after="120"/>
      <w:ind w:right="51"/>
    </w:pPr>
    <w:rPr>
      <w:rFonts w:eastAsia="Times New Roman"/>
      <w:color w:val="000000"/>
      <w:sz w:val="24"/>
      <w:szCs w:val="24"/>
      <w:u w:color="000000"/>
    </w:rPr>
  </w:style>
  <w:style w:type="paragraph" w:customStyle="1" w:styleId="Sous-section1">
    <w:name w:val="Sous-section 1"/>
    <w:next w:val="CorpsA"/>
    <w:pPr>
      <w:keepNext/>
      <w:keepLines/>
      <w:spacing w:before="520" w:after="320"/>
      <w:jc w:val="both"/>
      <w:outlineLvl w:val="1"/>
    </w:pPr>
    <w:rPr>
      <w:rFonts w:eastAsia="Times New Roman"/>
      <w:smallCaps/>
      <w:color w:val="000000"/>
      <w:sz w:val="32"/>
      <w:szCs w:val="32"/>
      <w:u w:color="000000"/>
    </w:rPr>
  </w:style>
  <w:style w:type="paragraph" w:styleId="TM3">
    <w:name w:val="toc 3"/>
    <w:pPr>
      <w:tabs>
        <w:tab w:val="right" w:leader="dot" w:pos="8504"/>
      </w:tabs>
      <w:spacing w:before="40" w:after="40"/>
      <w:ind w:right="51"/>
    </w:pPr>
    <w:rPr>
      <w:rFonts w:eastAsia="Times New Roman"/>
      <w:color w:val="000000"/>
      <w:sz w:val="24"/>
      <w:szCs w:val="24"/>
      <w:u w:color="000000"/>
    </w:rPr>
  </w:style>
  <w:style w:type="paragraph" w:customStyle="1" w:styleId="Sous-section2">
    <w:name w:val="Sous-section 2"/>
    <w:next w:val="CorpsA"/>
    <w:pPr>
      <w:keepNext/>
      <w:keepLines/>
      <w:spacing w:before="320" w:after="240"/>
      <w:jc w:val="both"/>
      <w:outlineLvl w:val="2"/>
    </w:pPr>
    <w:rPr>
      <w:rFonts w:eastAsia="Times New Roman"/>
      <w:color w:val="000000"/>
      <w:sz w:val="24"/>
      <w:szCs w:val="24"/>
      <w:u w:color="000000"/>
    </w:rPr>
  </w:style>
  <w:style w:type="paragraph" w:styleId="TM4">
    <w:name w:val="toc 4"/>
    <w:pPr>
      <w:tabs>
        <w:tab w:val="right" w:leader="dot" w:pos="8504"/>
      </w:tabs>
    </w:pPr>
    <w:rPr>
      <w:rFonts w:eastAsia="Times New Roman"/>
      <w:color w:val="000000"/>
    </w:rPr>
  </w:style>
  <w:style w:type="paragraph" w:customStyle="1" w:styleId="Sous-section3">
    <w:name w:val="Sous-section 3"/>
    <w:pPr>
      <w:keepNext/>
      <w:spacing w:before="160" w:after="160"/>
      <w:jc w:val="both"/>
      <w:outlineLvl w:val="3"/>
    </w:pPr>
    <w:rPr>
      <w:rFonts w:ascii="Helvetica" w:eastAsia="Helvetica" w:hAnsi="Helvetica" w:cs="Helvetica"/>
      <w:b/>
      <w:bCs/>
      <w:color w:val="000000"/>
      <w:sz w:val="24"/>
      <w:szCs w:val="24"/>
      <w:u w:color="000000"/>
    </w:rPr>
  </w:style>
  <w:style w:type="paragraph" w:customStyle="1" w:styleId="TitreAnnexe">
    <w:name w:val="Titre Annexe"/>
    <w:next w:val="CorpsA"/>
    <w:pPr>
      <w:keepNext/>
      <w:keepLines/>
      <w:pageBreakBefore/>
      <w:spacing w:before="240" w:after="600"/>
      <w:jc w:val="both"/>
      <w:outlineLvl w:val="0"/>
    </w:pPr>
    <w:rPr>
      <w:rFonts w:ascii="Helvetica" w:eastAsia="Helvetica" w:hAnsi="Helvetica" w:cs="Helvetica"/>
      <w:b/>
      <w:bCs/>
      <w:smallCaps/>
      <w:color w:val="000000"/>
      <w:sz w:val="36"/>
      <w:szCs w:val="36"/>
      <w:u w:color="000000"/>
    </w:rPr>
  </w:style>
  <w:style w:type="paragraph" w:customStyle="1" w:styleId="En-tteetbasdepage">
    <w:name w:val="En-tête et bas de page"/>
    <w:rPr>
      <w:rFonts w:ascii="Arial Unicode MS" w:eastAsia="Trebuchet MS" w:hAnsi="Arial Unicode MS" w:cs="Arial Unicode MS" w:hint="eastAsia"/>
      <w:color w:val="5F5F5F"/>
      <w:sz w:val="18"/>
      <w:szCs w:val="18"/>
      <w:u w:color="5F5F5F"/>
    </w:rPr>
  </w:style>
  <w:style w:type="numbering" w:customStyle="1" w:styleId="Lgal">
    <w:name w:val="Légal"/>
    <w:pPr>
      <w:numPr>
        <w:numId w:val="6"/>
      </w:numPr>
    </w:pPr>
  </w:style>
  <w:style w:type="numbering" w:customStyle="1" w:styleId="Style2import">
    <w:name w:val="Style 2 importé"/>
    <w:pPr>
      <w:numPr>
        <w:numId w:val="8"/>
      </w:numPr>
    </w:pPr>
  </w:style>
  <w:style w:type="paragraph" w:customStyle="1" w:styleId="Puceducorpsdetexte">
    <w:name w:val="Puce du corps de texte"/>
    <w:pPr>
      <w:keepLines/>
      <w:spacing w:before="80" w:after="80"/>
      <w:ind w:left="680"/>
      <w:jc w:val="both"/>
    </w:pPr>
    <w:rPr>
      <w:rFonts w:ascii="Notes-Regular" w:hAnsi="Notes-Regular" w:cs="Arial Unicode MS"/>
      <w:color w:val="000000"/>
      <w:u w:color="000000"/>
    </w:rPr>
  </w:style>
  <w:style w:type="numbering" w:customStyle="1" w:styleId="Puce">
    <w:name w:val="Puc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3020</Words>
  <Characters>16611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LEROI</dc:creator>
  <cp:lastModifiedBy>Sabrina Barraud</cp:lastModifiedBy>
  <cp:revision>2</cp:revision>
  <dcterms:created xsi:type="dcterms:W3CDTF">2019-02-01T14:57:00Z</dcterms:created>
  <dcterms:modified xsi:type="dcterms:W3CDTF">2019-02-01T14:57:00Z</dcterms:modified>
</cp:coreProperties>
</file>